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1E36" w:rsidRPr="002F1E36" w:rsidRDefault="002F1E36" w:rsidP="002F1E36">
      <w:pPr>
        <w:autoSpaceDE w:val="0"/>
        <w:autoSpaceDN w:val="0"/>
        <w:adjustRightInd w:val="0"/>
        <w:rPr>
          <w:sz w:val="24"/>
          <w:szCs w:val="24"/>
        </w:rPr>
      </w:pPr>
      <w:r w:rsidRPr="002F1E36">
        <w:rPr>
          <w:i/>
          <w:sz w:val="24"/>
          <w:szCs w:val="24"/>
        </w:rPr>
        <w:t>27 November 2012</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b/>
          <w:sz w:val="28"/>
          <w:szCs w:val="28"/>
        </w:rPr>
      </w:pPr>
      <w:r w:rsidRPr="002F1E36">
        <w:rPr>
          <w:b/>
          <w:sz w:val="28"/>
          <w:szCs w:val="28"/>
        </w:rPr>
        <w:t xml:space="preserve">2012 North Kaibab LiDAR, First Installment </w:t>
      </w:r>
    </w:p>
    <w:p w:rsidR="002F1E36" w:rsidRPr="002F1E36" w:rsidRDefault="002F1E36" w:rsidP="002F1E36">
      <w:pPr>
        <w:autoSpaceDE w:val="0"/>
        <w:autoSpaceDN w:val="0"/>
        <w:adjustRightInd w:val="0"/>
        <w:rPr>
          <w:b/>
          <w:sz w:val="28"/>
          <w:szCs w:val="28"/>
        </w:rPr>
      </w:pPr>
      <w:r w:rsidRPr="002F1E36">
        <w:rPr>
          <w:b/>
          <w:sz w:val="28"/>
          <w:szCs w:val="28"/>
        </w:rPr>
        <w:t>Quality Assurance Results</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The purpose of this acquisition was to provide LiDAR data for portions of the Kaibab NF and Grand Canyon NP on the Kaibab Plateau, in support of ongoing studies of Northern Goshawk demographics. 3Di </w:t>
      </w:r>
      <w:proofErr w:type="gramStart"/>
      <w:r w:rsidRPr="002F1E36">
        <w:rPr>
          <w:sz w:val="24"/>
          <w:szCs w:val="24"/>
        </w:rPr>
        <w:t>West</w:t>
      </w:r>
      <w:proofErr w:type="gramEnd"/>
      <w:r w:rsidRPr="002F1E36">
        <w:rPr>
          <w:sz w:val="24"/>
          <w:szCs w:val="24"/>
        </w:rPr>
        <w:t>, through its subcontractor Watershed Sciences Incorporated (WSI), acquired LiDAR data for over 450,000 acres in the summer of 2012.  The data were to be delivered in two installments.  The first installment, covered in this report, encompasses 108,745 acres and was acquired between 25 and 31 August 2012.  The second installment, which has not yet been delivered, was acquired in early September and covered 336,582 acres.</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The deliverables for the first installment met the contract specifications.  The average pulse density for the entire study area was 11.38/m</w:t>
      </w:r>
      <w:r w:rsidRPr="002F1E36">
        <w:rPr>
          <w:sz w:val="24"/>
          <w:szCs w:val="24"/>
          <w:vertAlign w:val="superscript"/>
        </w:rPr>
        <w:t>2</w:t>
      </w:r>
      <w:r w:rsidRPr="002F1E36">
        <w:rPr>
          <w:sz w:val="24"/>
          <w:szCs w:val="24"/>
        </w:rPr>
        <w:t>, exceeding the target rate of 8/m</w:t>
      </w:r>
      <w:r w:rsidRPr="002F1E36">
        <w:rPr>
          <w:sz w:val="24"/>
          <w:szCs w:val="24"/>
          <w:vertAlign w:val="superscript"/>
        </w:rPr>
        <w:t>2</w:t>
      </w:r>
      <w:r w:rsidRPr="002F1E36">
        <w:rPr>
          <w:sz w:val="24"/>
          <w:szCs w:val="24"/>
        </w:rPr>
        <w:t>.</w:t>
      </w: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b/>
          <w:sz w:val="24"/>
          <w:szCs w:val="24"/>
          <w:u w:val="single"/>
        </w:rPr>
      </w:pPr>
      <w:r w:rsidRPr="002F1E36">
        <w:rPr>
          <w:b/>
          <w:sz w:val="24"/>
          <w:szCs w:val="24"/>
          <w:u w:val="single"/>
        </w:rPr>
        <w:t>Data Quality Assurance</w:t>
      </w:r>
    </w:p>
    <w:p w:rsidR="002F1E36" w:rsidRPr="002F1E36" w:rsidRDefault="002F1E36" w:rsidP="002F1E36">
      <w:pPr>
        <w:autoSpaceDE w:val="0"/>
        <w:autoSpaceDN w:val="0"/>
        <w:adjustRightInd w:val="0"/>
        <w:rPr>
          <w:b/>
          <w:sz w:val="24"/>
          <w:szCs w:val="24"/>
          <w:u w:val="single"/>
        </w:rPr>
      </w:pPr>
    </w:p>
    <w:p w:rsidR="002F1E36" w:rsidRPr="002F1E36" w:rsidRDefault="002F1E36" w:rsidP="002F1E36">
      <w:pPr>
        <w:autoSpaceDE w:val="0"/>
        <w:autoSpaceDN w:val="0"/>
        <w:adjustRightInd w:val="0"/>
        <w:rPr>
          <w:sz w:val="24"/>
          <w:szCs w:val="24"/>
        </w:rPr>
      </w:pPr>
      <w:r w:rsidRPr="002F1E36">
        <w:rPr>
          <w:sz w:val="24"/>
          <w:szCs w:val="24"/>
        </w:rPr>
        <w:t>A thorough quality assurance assessment was conducted to determine if the lidar data deliverables met the specified Technical Specifications. The procedure for assessing the quality of the data is outlined below.</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b/>
          <w:sz w:val="24"/>
          <w:szCs w:val="24"/>
        </w:rPr>
      </w:pPr>
      <w:r w:rsidRPr="002F1E36">
        <w:rPr>
          <w:b/>
          <w:sz w:val="24"/>
          <w:szCs w:val="24"/>
        </w:rPr>
        <w:t xml:space="preserve">1. Using FUSION software – </w:t>
      </w:r>
    </w:p>
    <w:p w:rsidR="002F1E36" w:rsidRPr="002F1E36" w:rsidRDefault="002F1E36" w:rsidP="002F1E36">
      <w:pPr>
        <w:autoSpaceDE w:val="0"/>
        <w:autoSpaceDN w:val="0"/>
        <w:adjustRightInd w:val="0"/>
        <w:ind w:left="720"/>
        <w:rPr>
          <w:b/>
          <w:sz w:val="24"/>
          <w:szCs w:val="24"/>
        </w:rPr>
      </w:pPr>
      <w:r w:rsidRPr="002F1E36">
        <w:rPr>
          <w:b/>
          <w:sz w:val="24"/>
          <w:szCs w:val="24"/>
        </w:rPr>
        <w:t>a. Used the catalog DOS command to assess pulses per sq. meter to determine if the dataset meets the Technical Specifications, averaged over a 100m by 100m area.*</w:t>
      </w:r>
    </w:p>
    <w:tbl>
      <w:tblPr>
        <w:tblStyle w:val="TableGrid"/>
        <w:tblW w:w="10710" w:type="dxa"/>
        <w:tblInd w:w="-252" w:type="dxa"/>
        <w:tblLook w:val="04A0" w:firstRow="1" w:lastRow="0" w:firstColumn="1" w:lastColumn="0" w:noHBand="0" w:noVBand="1"/>
      </w:tblPr>
      <w:tblGrid>
        <w:gridCol w:w="2487"/>
        <w:gridCol w:w="2463"/>
        <w:gridCol w:w="2970"/>
        <w:gridCol w:w="2790"/>
      </w:tblGrid>
      <w:tr w:rsidR="002F1E36" w:rsidRPr="002F1E36" w:rsidTr="0091723D">
        <w:tc>
          <w:tcPr>
            <w:tcW w:w="2487"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Data acquisition</w:t>
            </w:r>
          </w:p>
        </w:tc>
        <w:tc>
          <w:tcPr>
            <w:tcW w:w="2463"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Survey Design</w:t>
            </w:r>
          </w:p>
        </w:tc>
        <w:tc>
          <w:tcPr>
            <w:tcW w:w="297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Minimum requirements</w:t>
            </w:r>
          </w:p>
        </w:tc>
        <w:tc>
          <w:tcPr>
            <w:tcW w:w="279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jc w:val="center"/>
              <w:rPr>
                <w:rFonts w:ascii="Arial" w:hAnsi="Arial" w:cs="Arial"/>
                <w:b/>
                <w:color w:val="000000"/>
              </w:rPr>
            </w:pPr>
            <w:r w:rsidRPr="002F1E36">
              <w:rPr>
                <w:rFonts w:ascii="Arial" w:hAnsi="Arial" w:cs="Arial"/>
                <w:b/>
                <w:color w:val="000000"/>
              </w:rPr>
              <w:t>Specs met?</w:t>
            </w:r>
          </w:p>
        </w:tc>
      </w:tr>
      <w:tr w:rsidR="002F1E36" w:rsidRPr="002F1E36" w:rsidTr="0091723D">
        <w:tc>
          <w:tcPr>
            <w:tcW w:w="2487"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000000"/>
                <w:sz w:val="18"/>
                <w:szCs w:val="18"/>
              </w:rPr>
              <w:t>Aggregate pulse density</w:t>
            </w:r>
          </w:p>
        </w:tc>
        <w:tc>
          <w:tcPr>
            <w:tcW w:w="2463"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000000"/>
                <w:sz w:val="18"/>
                <w:szCs w:val="18"/>
              </w:rPr>
              <w:t>8 pulses/m</w:t>
            </w:r>
            <w:r w:rsidRPr="002F1E36">
              <w:rPr>
                <w:rFonts w:ascii="Arial" w:hAnsi="Arial" w:cs="Arial"/>
                <w:color w:val="000000"/>
                <w:sz w:val="18"/>
                <w:szCs w:val="18"/>
                <w:vertAlign w:val="superscript"/>
              </w:rPr>
              <w:t>2</w:t>
            </w:r>
          </w:p>
        </w:tc>
        <w:tc>
          <w:tcPr>
            <w:tcW w:w="2970" w:type="dxa"/>
            <w:tcBorders>
              <w:top w:val="single" w:sz="4" w:space="0" w:color="auto"/>
              <w:left w:val="single" w:sz="4" w:space="0" w:color="auto"/>
              <w:bottom w:val="single" w:sz="4" w:space="0" w:color="auto"/>
              <w:right w:val="single" w:sz="4" w:space="0" w:color="auto"/>
            </w:tcBorders>
            <w:hideMark/>
          </w:tcPr>
          <w:p w:rsidR="002F1E36" w:rsidRPr="002F1E36" w:rsidRDefault="002F1E36" w:rsidP="002F1E36">
            <w:pPr>
              <w:autoSpaceDE w:val="0"/>
              <w:autoSpaceDN w:val="0"/>
              <w:adjustRightInd w:val="0"/>
              <w:rPr>
                <w:rFonts w:ascii="Arial" w:hAnsi="Arial" w:cs="Arial"/>
                <w:color w:val="000000"/>
                <w:sz w:val="18"/>
                <w:szCs w:val="18"/>
              </w:rPr>
            </w:pPr>
            <w:r w:rsidRPr="002F1E36">
              <w:rPr>
                <w:rFonts w:ascii="Arial" w:hAnsi="Arial" w:cs="Arial"/>
                <w:color w:val="000000"/>
                <w:sz w:val="18"/>
                <w:szCs w:val="18"/>
              </w:rPr>
              <w:t>Baring non-reflective areas (e.g. open water):</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≥85% design pulse density for entire project area</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 xml:space="preserve"> no 100m x 100m area with &lt;50% design pulse density (4 pulses/m</w:t>
            </w:r>
            <w:r w:rsidRPr="002F1E36">
              <w:rPr>
                <w:rFonts w:ascii="Arial" w:hAnsi="Arial" w:cs="Arial"/>
                <w:color w:val="000000"/>
                <w:sz w:val="18"/>
                <w:szCs w:val="18"/>
                <w:vertAlign w:val="superscript"/>
              </w:rPr>
              <w:t>2</w:t>
            </w:r>
            <w:r w:rsidRPr="002F1E36">
              <w:rPr>
                <w:rFonts w:ascii="Arial" w:hAnsi="Arial" w:cs="Arial"/>
                <w:color w:val="000000"/>
                <w:sz w:val="18"/>
                <w:szCs w:val="18"/>
              </w:rPr>
              <w:t>)</w:t>
            </w:r>
          </w:p>
          <w:p w:rsidR="002F1E36" w:rsidRPr="002F1E36" w:rsidRDefault="002F1E36" w:rsidP="002F1E36">
            <w:pPr>
              <w:numPr>
                <w:ilvl w:val="0"/>
                <w:numId w:val="1"/>
              </w:numPr>
              <w:autoSpaceDE w:val="0"/>
              <w:autoSpaceDN w:val="0"/>
              <w:adjustRightInd w:val="0"/>
              <w:contextualSpacing/>
              <w:rPr>
                <w:rFonts w:ascii="Arial" w:hAnsi="Arial" w:cs="Arial"/>
                <w:color w:val="000000"/>
                <w:sz w:val="18"/>
                <w:szCs w:val="18"/>
              </w:rPr>
            </w:pPr>
            <w:r w:rsidRPr="002F1E36">
              <w:rPr>
                <w:rFonts w:ascii="Arial" w:hAnsi="Arial" w:cs="Arial"/>
                <w:color w:val="000000"/>
                <w:sz w:val="18"/>
                <w:szCs w:val="18"/>
              </w:rPr>
              <w:t xml:space="preserve">in areas of large terrain relief, more closely space </w:t>
            </w:r>
            <w:proofErr w:type="spellStart"/>
            <w:r w:rsidRPr="002F1E36">
              <w:rPr>
                <w:rFonts w:ascii="Arial" w:hAnsi="Arial" w:cs="Arial"/>
                <w:color w:val="000000"/>
                <w:sz w:val="18"/>
                <w:szCs w:val="18"/>
              </w:rPr>
              <w:t>flightlines</w:t>
            </w:r>
            <w:proofErr w:type="spellEnd"/>
            <w:r w:rsidRPr="002F1E36">
              <w:rPr>
                <w:rFonts w:ascii="Arial" w:hAnsi="Arial" w:cs="Arial"/>
                <w:color w:val="000000"/>
                <w:sz w:val="18"/>
                <w:szCs w:val="18"/>
              </w:rPr>
              <w:t xml:space="preserve"> may be necessary to meet minimum point density and double coverage</w:t>
            </w:r>
          </w:p>
        </w:tc>
        <w:tc>
          <w:tcPr>
            <w:tcW w:w="279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2F1E36" w:rsidRPr="002F1E36" w:rsidRDefault="002F1E36" w:rsidP="002F1E36">
            <w:pPr>
              <w:autoSpaceDE w:val="0"/>
              <w:autoSpaceDN w:val="0"/>
              <w:adjustRightInd w:val="0"/>
              <w:rPr>
                <w:rFonts w:ascii="Arial" w:hAnsi="Arial" w:cs="Arial"/>
                <w:color w:val="FF0000"/>
                <w:sz w:val="18"/>
                <w:szCs w:val="18"/>
              </w:rPr>
            </w:pPr>
            <w:r w:rsidRPr="002F1E36">
              <w:rPr>
                <w:rFonts w:ascii="Arial" w:hAnsi="Arial" w:cs="Arial"/>
                <w:color w:val="FF0000"/>
                <w:sz w:val="18"/>
                <w:szCs w:val="18"/>
              </w:rPr>
              <w:t>Yes.  More than 86% (100%-13.90%) of the study area met the design pulse density of 8 pulses / m</w:t>
            </w:r>
            <w:r w:rsidRPr="002F1E36">
              <w:rPr>
                <w:rFonts w:ascii="Arial" w:hAnsi="Arial" w:cs="Arial"/>
                <w:color w:val="FF0000"/>
                <w:sz w:val="18"/>
                <w:szCs w:val="18"/>
                <w:vertAlign w:val="superscript"/>
              </w:rPr>
              <w:t>2</w:t>
            </w:r>
            <w:r w:rsidRPr="002F1E36">
              <w:rPr>
                <w:rFonts w:ascii="Arial" w:hAnsi="Arial" w:cs="Arial"/>
                <w:color w:val="FF0000"/>
                <w:sz w:val="18"/>
                <w:szCs w:val="18"/>
              </w:rPr>
              <w:t>.  0.92% of the study area had fewer than 4 pulses / m</w:t>
            </w:r>
            <w:r w:rsidRPr="002F1E36">
              <w:rPr>
                <w:rFonts w:ascii="Arial" w:hAnsi="Arial" w:cs="Arial"/>
                <w:color w:val="FF0000"/>
                <w:sz w:val="18"/>
                <w:szCs w:val="18"/>
                <w:vertAlign w:val="superscript"/>
              </w:rPr>
              <w:t>2</w:t>
            </w:r>
            <w:r w:rsidRPr="002F1E36">
              <w:rPr>
                <w:rFonts w:ascii="Arial" w:hAnsi="Arial" w:cs="Arial"/>
                <w:color w:val="FF0000"/>
                <w:sz w:val="18"/>
                <w:szCs w:val="18"/>
              </w:rPr>
              <w:t>, which is less than the 3% allowable.  In addition, all cells with fewer than 4 pulses / m</w:t>
            </w:r>
            <w:r w:rsidRPr="002F1E36">
              <w:rPr>
                <w:rFonts w:ascii="Arial" w:hAnsi="Arial" w:cs="Arial"/>
                <w:color w:val="FF0000"/>
                <w:sz w:val="18"/>
                <w:szCs w:val="18"/>
                <w:vertAlign w:val="superscript"/>
              </w:rPr>
              <w:t>2</w:t>
            </w:r>
            <w:r w:rsidRPr="002F1E36">
              <w:rPr>
                <w:rFonts w:ascii="Arial" w:hAnsi="Arial" w:cs="Arial"/>
                <w:color w:val="FF0000"/>
                <w:sz w:val="18"/>
                <w:szCs w:val="18"/>
              </w:rPr>
              <w:t xml:space="preserve"> were along the project area perimeter (“will not be assessed”).</w:t>
            </w:r>
          </w:p>
          <w:p w:rsidR="002F1E36" w:rsidRPr="002F1E36" w:rsidRDefault="002F1E36" w:rsidP="002F1E36">
            <w:pPr>
              <w:autoSpaceDE w:val="0"/>
              <w:autoSpaceDN w:val="0"/>
              <w:adjustRightInd w:val="0"/>
              <w:spacing w:after="200" w:line="276" w:lineRule="auto"/>
              <w:rPr>
                <w:rFonts w:ascii="Arial" w:hAnsi="Arial" w:cs="Arial"/>
                <w:color w:val="000000"/>
                <w:sz w:val="18"/>
                <w:szCs w:val="18"/>
              </w:rPr>
            </w:pPr>
            <w:r w:rsidRPr="002F1E36">
              <w:rPr>
                <w:rFonts w:ascii="Arial" w:hAnsi="Arial" w:cs="Arial"/>
                <w:color w:val="FF0000"/>
                <w:sz w:val="18"/>
                <w:szCs w:val="18"/>
              </w:rPr>
              <w:t>See Appendix A</w:t>
            </w:r>
          </w:p>
        </w:tc>
      </w:tr>
    </w:tbl>
    <w:p w:rsidR="002F1E36" w:rsidRPr="002F1E36" w:rsidRDefault="002F1E36" w:rsidP="002F1E36">
      <w:pPr>
        <w:tabs>
          <w:tab w:val="left" w:pos="1800"/>
        </w:tabs>
        <w:autoSpaceDE w:val="0"/>
        <w:autoSpaceDN w:val="0"/>
        <w:adjustRightInd w:val="0"/>
        <w:ind w:firstLine="720"/>
        <w:rPr>
          <w:sz w:val="20"/>
          <w:szCs w:val="20"/>
        </w:rPr>
      </w:pPr>
      <w:r w:rsidRPr="002F1E36">
        <w:rPr>
          <w:sz w:val="20"/>
          <w:szCs w:val="20"/>
        </w:rPr>
        <w:t>*1. Cells intersecting with the project area perimeter will not be assessed</w:t>
      </w:r>
    </w:p>
    <w:p w:rsidR="002F1E36" w:rsidRPr="002F1E36" w:rsidRDefault="002F1E36" w:rsidP="002F1E36">
      <w:pPr>
        <w:autoSpaceDE w:val="0"/>
        <w:autoSpaceDN w:val="0"/>
        <w:adjustRightInd w:val="0"/>
        <w:ind w:left="720"/>
        <w:rPr>
          <w:sz w:val="20"/>
          <w:szCs w:val="20"/>
        </w:rPr>
      </w:pPr>
      <w:r w:rsidRPr="002F1E36">
        <w:rPr>
          <w:sz w:val="20"/>
          <w:szCs w:val="20"/>
        </w:rPr>
        <w:t xml:space="preserve">2. As defined by NHD, cells containing polygon water features (e.g. </w:t>
      </w:r>
      <w:proofErr w:type="spellStart"/>
      <w:r w:rsidRPr="002F1E36">
        <w:rPr>
          <w:sz w:val="20"/>
          <w:szCs w:val="20"/>
        </w:rPr>
        <w:t>StreamRiver</w:t>
      </w:r>
      <w:proofErr w:type="spellEnd"/>
      <w:r w:rsidRPr="002F1E36">
        <w:rPr>
          <w:sz w:val="20"/>
          <w:szCs w:val="20"/>
        </w:rPr>
        <w:t xml:space="preserve"> and </w:t>
      </w:r>
      <w:proofErr w:type="spellStart"/>
      <w:r w:rsidRPr="002F1E36">
        <w:rPr>
          <w:sz w:val="20"/>
          <w:szCs w:val="20"/>
        </w:rPr>
        <w:t>LakePond</w:t>
      </w:r>
      <w:proofErr w:type="spellEnd"/>
      <w:r w:rsidRPr="002F1E36">
        <w:rPr>
          <w:sz w:val="20"/>
          <w:szCs w:val="20"/>
        </w:rPr>
        <w:t xml:space="preserve">) will not be assessed, however, cells containing line water features </w:t>
      </w:r>
      <w:r w:rsidRPr="002F1E36">
        <w:rPr>
          <w:i/>
          <w:sz w:val="20"/>
          <w:szCs w:val="20"/>
        </w:rPr>
        <w:t>will</w:t>
      </w:r>
      <w:r w:rsidRPr="002F1E36">
        <w:rPr>
          <w:sz w:val="20"/>
          <w:szCs w:val="20"/>
        </w:rPr>
        <w:t xml:space="preserve"> be assessed in the Quality Assurance assessment. </w:t>
      </w:r>
    </w:p>
    <w:p w:rsidR="002F1E36" w:rsidRPr="002F1E36" w:rsidRDefault="002F1E36" w:rsidP="002F1E36">
      <w:pPr>
        <w:autoSpaceDE w:val="0"/>
        <w:autoSpaceDN w:val="0"/>
        <w:adjustRightInd w:val="0"/>
        <w:ind w:left="720"/>
        <w:rPr>
          <w:sz w:val="24"/>
          <w:szCs w:val="24"/>
        </w:rPr>
      </w:pPr>
    </w:p>
    <w:p w:rsidR="002F1E36" w:rsidRPr="002F1E36" w:rsidRDefault="002F1E36" w:rsidP="002F1E36">
      <w:pPr>
        <w:autoSpaceDE w:val="0"/>
        <w:autoSpaceDN w:val="0"/>
        <w:adjustRightInd w:val="0"/>
        <w:ind w:left="720"/>
        <w:rPr>
          <w:b/>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b. Use the catalog DOS command to flag tiles with potential elevation outliers.</w:t>
      </w:r>
    </w:p>
    <w:p w:rsidR="002F1E36" w:rsidRPr="002F1E36" w:rsidRDefault="002F1E36" w:rsidP="002F1E36">
      <w:pPr>
        <w:autoSpaceDE w:val="0"/>
        <w:autoSpaceDN w:val="0"/>
        <w:adjustRightInd w:val="0"/>
        <w:rPr>
          <w:color w:val="FF0000"/>
          <w:sz w:val="24"/>
          <w:szCs w:val="24"/>
        </w:rPr>
      </w:pPr>
      <w:r w:rsidRPr="002F1E36">
        <w:rPr>
          <w:color w:val="FF0000"/>
          <w:sz w:val="24"/>
          <w:szCs w:val="24"/>
        </w:rPr>
        <w:lastRenderedPageBreak/>
        <w:t xml:space="preserve">No limits on outliers were specified.  However, five tiles were identified by the </w:t>
      </w:r>
      <w:r w:rsidRPr="002F1E36">
        <w:rPr>
          <w:b/>
          <w:color w:val="FF0000"/>
          <w:sz w:val="24"/>
          <w:szCs w:val="24"/>
        </w:rPr>
        <w:t>catalog</w:t>
      </w:r>
      <w:r w:rsidRPr="002F1E36">
        <w:rPr>
          <w:color w:val="FF0000"/>
          <w:sz w:val="24"/>
          <w:szCs w:val="24"/>
        </w:rPr>
        <w:t xml:space="preserve"> command (using the switch </w:t>
      </w:r>
      <w:r w:rsidRPr="002F1E36">
        <w:rPr>
          <w:i/>
          <w:color w:val="FF0000"/>
          <w:sz w:val="24"/>
          <w:szCs w:val="24"/>
        </w:rPr>
        <w:t>/outlier</w:t>
      </w:r>
      <w:proofErr w:type="gramStart"/>
      <w:r w:rsidRPr="002F1E36">
        <w:rPr>
          <w:i/>
          <w:color w:val="FF0000"/>
          <w:sz w:val="24"/>
          <w:szCs w:val="24"/>
        </w:rPr>
        <w:t>:2</w:t>
      </w:r>
      <w:proofErr w:type="gramEnd"/>
      <w:r w:rsidRPr="002F1E36">
        <w:rPr>
          <w:color w:val="FF0000"/>
          <w:sz w:val="24"/>
          <w:szCs w:val="24"/>
        </w:rPr>
        <w:t>) as having minimum elevation values that were less than the average minimum elevation for all tiles in the project area, minus two standard deviations.  These do not appear to be errors.  The tiles were located at two steep canyons (Dog and North) in the southeast corner of the study area (see Appendix A), where elevation values drop off quickly from the plateau:</w:t>
      </w: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36112D1213.las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36112D1217.las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36112D1218.las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36112D1222.las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36112D1223.las</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color w:val="FF0000"/>
          <w:sz w:val="24"/>
          <w:szCs w:val="24"/>
        </w:rPr>
      </w:pPr>
      <w:r w:rsidRPr="002F1E36">
        <w:rPr>
          <w:color w:val="FF0000"/>
          <w:sz w:val="24"/>
          <w:szCs w:val="24"/>
        </w:rPr>
        <w:t>However, elevation outliers were apparent in all of the six *.</w:t>
      </w:r>
      <w:proofErr w:type="spellStart"/>
      <w:r w:rsidRPr="002F1E36">
        <w:rPr>
          <w:color w:val="FF0000"/>
          <w:sz w:val="24"/>
          <w:szCs w:val="24"/>
        </w:rPr>
        <w:t>las</w:t>
      </w:r>
      <w:proofErr w:type="spellEnd"/>
      <w:r w:rsidRPr="002F1E36">
        <w:rPr>
          <w:color w:val="FF0000"/>
          <w:sz w:val="24"/>
          <w:szCs w:val="24"/>
        </w:rPr>
        <w:t xml:space="preserve"> tiles that were chosen as samples and viewed with the Fusion LDV.  These isolated outliers were mostly likely birds in flight.  See example in Appendix A.  The output from the Fusion </w:t>
      </w:r>
      <w:r w:rsidRPr="002F1E36">
        <w:rPr>
          <w:b/>
          <w:color w:val="FF0000"/>
          <w:sz w:val="24"/>
          <w:szCs w:val="24"/>
        </w:rPr>
        <w:t>catalog</w:t>
      </w:r>
      <w:r w:rsidRPr="002F1E36">
        <w:rPr>
          <w:color w:val="FF0000"/>
          <w:sz w:val="24"/>
          <w:szCs w:val="24"/>
        </w:rPr>
        <w:t xml:space="preserve"> command (using the 2 standard deviation multiplier) did not flag any of these tiles.  Some objects were within a single standard deviation of the average maximum elevation for all tiles, so they would not have been detected even using a switch </w:t>
      </w:r>
      <w:r w:rsidRPr="002F1E36">
        <w:rPr>
          <w:i/>
          <w:color w:val="FF0000"/>
          <w:sz w:val="24"/>
          <w:szCs w:val="24"/>
        </w:rPr>
        <w:t>/outlier</w:t>
      </w:r>
      <w:proofErr w:type="gramStart"/>
      <w:r w:rsidRPr="002F1E36">
        <w:rPr>
          <w:i/>
          <w:color w:val="FF0000"/>
          <w:sz w:val="24"/>
          <w:szCs w:val="24"/>
        </w:rPr>
        <w:t>:1</w:t>
      </w:r>
      <w:proofErr w:type="gramEnd"/>
      <w:r w:rsidRPr="002F1E36">
        <w:rPr>
          <w:color w:val="FF0000"/>
          <w:sz w:val="24"/>
          <w:szCs w:val="24"/>
        </w:rPr>
        <w:t>.  The six *.</w:t>
      </w:r>
      <w:proofErr w:type="spellStart"/>
      <w:r w:rsidRPr="002F1E36">
        <w:rPr>
          <w:color w:val="FF0000"/>
          <w:sz w:val="24"/>
          <w:szCs w:val="24"/>
        </w:rPr>
        <w:t>las</w:t>
      </w:r>
      <w:proofErr w:type="spellEnd"/>
      <w:r w:rsidRPr="002F1E36">
        <w:rPr>
          <w:color w:val="FF0000"/>
          <w:sz w:val="24"/>
          <w:szCs w:val="24"/>
        </w:rPr>
        <w:t xml:space="preserve"> files that were used as samples were:</w:t>
      </w: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36112D1101.las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36112D1125.las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36112D4203.las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36112D4225.las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36112E4403.las</w:t>
      </w:r>
    </w:p>
    <w:p w:rsidR="002F1E36" w:rsidRPr="002F1E36" w:rsidRDefault="002F1E36" w:rsidP="002F1E36">
      <w:pPr>
        <w:autoSpaceDE w:val="0"/>
        <w:autoSpaceDN w:val="0"/>
        <w:adjustRightInd w:val="0"/>
        <w:rPr>
          <w:color w:val="FF0000"/>
          <w:sz w:val="24"/>
          <w:szCs w:val="24"/>
        </w:rPr>
      </w:pPr>
      <w:r w:rsidRPr="002F1E36">
        <w:rPr>
          <w:color w:val="FF0000"/>
          <w:sz w:val="24"/>
          <w:szCs w:val="24"/>
        </w:rPr>
        <w:t>36112E4425.las</w:t>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c. Visual inspection – inspect 3D point cloud for all tiles for outliers, holes, gaps, etc.</w:t>
      </w:r>
    </w:p>
    <w:p w:rsidR="002F1E36" w:rsidRPr="002F1E36" w:rsidRDefault="002F1E36" w:rsidP="002F1E36">
      <w:pPr>
        <w:autoSpaceDE w:val="0"/>
        <w:autoSpaceDN w:val="0"/>
        <w:adjustRightInd w:val="0"/>
        <w:rPr>
          <w:color w:val="FF0000"/>
          <w:sz w:val="24"/>
          <w:szCs w:val="24"/>
        </w:rPr>
      </w:pPr>
      <w:r w:rsidRPr="002F1E36">
        <w:rPr>
          <w:color w:val="FF0000"/>
          <w:sz w:val="24"/>
          <w:szCs w:val="24"/>
        </w:rPr>
        <w:t>Visually inspected a sample of the *.</w:t>
      </w:r>
      <w:proofErr w:type="spellStart"/>
      <w:r w:rsidRPr="002F1E36">
        <w:rPr>
          <w:color w:val="FF0000"/>
          <w:sz w:val="24"/>
          <w:szCs w:val="24"/>
        </w:rPr>
        <w:t>las</w:t>
      </w:r>
      <w:proofErr w:type="spellEnd"/>
      <w:r w:rsidRPr="002F1E36">
        <w:rPr>
          <w:color w:val="FF0000"/>
          <w:sz w:val="24"/>
          <w:szCs w:val="24"/>
        </w:rPr>
        <w:t xml:space="preserve"> tiles in Fusion.  </w:t>
      </w:r>
      <w:proofErr w:type="gramStart"/>
      <w:r w:rsidRPr="002F1E36">
        <w:rPr>
          <w:color w:val="FF0000"/>
          <w:sz w:val="24"/>
          <w:szCs w:val="24"/>
        </w:rPr>
        <w:t>Also inspected the bare earth and highest hit models for the entire acquisition area (Step 2, a. and b., below).</w:t>
      </w:r>
      <w:proofErr w:type="gramEnd"/>
      <w:r w:rsidRPr="002F1E36">
        <w:rPr>
          <w:color w:val="FF0000"/>
          <w:sz w:val="24"/>
          <w:szCs w:val="24"/>
        </w:rPr>
        <w:t xml:space="preserve"> </w:t>
      </w: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 xml:space="preserve">d. Use catalog DOS command graphical output to visually inspect </w:t>
      </w:r>
      <w:proofErr w:type="spellStart"/>
      <w:r w:rsidRPr="002F1E36">
        <w:rPr>
          <w:b/>
          <w:sz w:val="24"/>
          <w:szCs w:val="24"/>
        </w:rPr>
        <w:t>flightline</w:t>
      </w:r>
      <w:proofErr w:type="spellEnd"/>
      <w:r w:rsidRPr="002F1E36">
        <w:rPr>
          <w:b/>
          <w:sz w:val="24"/>
          <w:szCs w:val="24"/>
        </w:rPr>
        <w:t xml:space="preserve"> overlap (50% </w:t>
      </w:r>
      <w:proofErr w:type="spellStart"/>
      <w:r w:rsidRPr="002F1E36">
        <w:rPr>
          <w:b/>
          <w:sz w:val="24"/>
          <w:szCs w:val="24"/>
        </w:rPr>
        <w:t>sidelap</w:t>
      </w:r>
      <w:proofErr w:type="spellEnd"/>
      <w:r w:rsidRPr="002F1E36">
        <w:rPr>
          <w:b/>
          <w:sz w:val="24"/>
          <w:szCs w:val="24"/>
        </w:rPr>
        <w:t xml:space="preserve">, 100% overlap) based on pulse density. </w:t>
      </w:r>
    </w:p>
    <w:p w:rsidR="002F1E36" w:rsidRPr="002F1E36" w:rsidRDefault="002F1E36" w:rsidP="002F1E36">
      <w:pPr>
        <w:autoSpaceDE w:val="0"/>
        <w:autoSpaceDN w:val="0"/>
        <w:adjustRightInd w:val="0"/>
        <w:rPr>
          <w:color w:val="00B050"/>
          <w:sz w:val="24"/>
          <w:szCs w:val="24"/>
        </w:rPr>
      </w:pPr>
      <w:r w:rsidRPr="002F1E36">
        <w:rPr>
          <w:color w:val="FF0000"/>
          <w:sz w:val="24"/>
          <w:szCs w:val="24"/>
        </w:rPr>
        <w:t xml:space="preserve">Graphical output from the Catalog command of First Return (Pulse) Density indicated complete coverage (see Appendix A).  </w:t>
      </w:r>
      <w:proofErr w:type="gramStart"/>
      <w:r w:rsidRPr="002F1E36">
        <w:rPr>
          <w:color w:val="FF0000"/>
          <w:sz w:val="24"/>
          <w:szCs w:val="24"/>
        </w:rPr>
        <w:t xml:space="preserve">Also displayed the </w:t>
      </w:r>
      <w:proofErr w:type="spellStart"/>
      <w:r w:rsidRPr="002F1E36">
        <w:rPr>
          <w:color w:val="FF0000"/>
          <w:sz w:val="24"/>
          <w:szCs w:val="24"/>
        </w:rPr>
        <w:t>GPSTime</w:t>
      </w:r>
      <w:proofErr w:type="spellEnd"/>
      <w:r w:rsidRPr="002F1E36">
        <w:rPr>
          <w:color w:val="FF0000"/>
          <w:sz w:val="24"/>
          <w:szCs w:val="24"/>
        </w:rPr>
        <w:t xml:space="preserve"> for three LAS files, using the </w:t>
      </w:r>
      <w:proofErr w:type="spellStart"/>
      <w:r w:rsidRPr="002F1E36">
        <w:rPr>
          <w:i/>
          <w:color w:val="FF0000"/>
          <w:sz w:val="24"/>
          <w:szCs w:val="24"/>
        </w:rPr>
        <w:t>LidarGpsTime.esriAddIn</w:t>
      </w:r>
      <w:proofErr w:type="spellEnd"/>
      <w:r w:rsidRPr="002F1E36">
        <w:rPr>
          <w:color w:val="FF0000"/>
          <w:sz w:val="24"/>
          <w:szCs w:val="24"/>
        </w:rPr>
        <w:t xml:space="preserve"> produced by RSAC, to visually inspect </w:t>
      </w:r>
      <w:proofErr w:type="spellStart"/>
      <w:r w:rsidRPr="002F1E36">
        <w:rPr>
          <w:color w:val="FF0000"/>
          <w:sz w:val="24"/>
          <w:szCs w:val="24"/>
        </w:rPr>
        <w:t>flightline</w:t>
      </w:r>
      <w:proofErr w:type="spellEnd"/>
      <w:r w:rsidRPr="002F1E36">
        <w:rPr>
          <w:color w:val="FF0000"/>
          <w:sz w:val="24"/>
          <w:szCs w:val="24"/>
        </w:rPr>
        <w:t xml:space="preserve"> overlap.</w:t>
      </w:r>
      <w:proofErr w:type="gramEnd"/>
      <w:r w:rsidRPr="002F1E36">
        <w:rPr>
          <w:color w:val="FF0000"/>
          <w:sz w:val="24"/>
          <w:szCs w:val="24"/>
        </w:rPr>
        <w:t xml:space="preserve">  See Appendix B.  For example:</w:t>
      </w:r>
    </w:p>
    <w:p w:rsidR="002F1E36" w:rsidRPr="002F1E36" w:rsidRDefault="002F1E36" w:rsidP="002F1E36">
      <w:pPr>
        <w:autoSpaceDE w:val="0"/>
        <w:autoSpaceDN w:val="0"/>
        <w:adjustRightInd w:val="0"/>
        <w:rPr>
          <w:color w:val="FF0000"/>
          <w:sz w:val="24"/>
          <w:szCs w:val="24"/>
        </w:rPr>
      </w:pPr>
      <w:r w:rsidRPr="002F1E36">
        <w:rPr>
          <w:noProof/>
        </w:rPr>
        <w:lastRenderedPageBreak/>
        <w:drawing>
          <wp:inline distT="0" distB="0" distL="0" distR="0" wp14:anchorId="24DD3BAA" wp14:editId="5646AD04">
            <wp:extent cx="2381250" cy="2875285"/>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385073" cy="2879901"/>
                    </a:xfrm>
                    <a:prstGeom prst="rect">
                      <a:avLst/>
                    </a:prstGeom>
                  </pic:spPr>
                </pic:pic>
              </a:graphicData>
            </a:graphic>
          </wp:inline>
        </w:drawing>
      </w:r>
    </w:p>
    <w:p w:rsidR="002F1E36" w:rsidRPr="002F1E36" w:rsidRDefault="002F1E36" w:rsidP="002F1E36">
      <w:pPr>
        <w:autoSpaceDE w:val="0"/>
        <w:autoSpaceDN w:val="0"/>
        <w:adjustRightInd w:val="0"/>
        <w:rPr>
          <w:sz w:val="20"/>
          <w:szCs w:val="20"/>
        </w:rPr>
      </w:pPr>
      <w:r w:rsidRPr="002F1E36">
        <w:rPr>
          <w:sz w:val="20"/>
          <w:szCs w:val="20"/>
        </w:rPr>
        <w:tab/>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b/>
          <w:sz w:val="24"/>
          <w:szCs w:val="24"/>
        </w:rPr>
      </w:pPr>
    </w:p>
    <w:p w:rsidR="002F1E36" w:rsidRPr="002F1E36" w:rsidRDefault="002F1E36" w:rsidP="002F1E36">
      <w:pPr>
        <w:autoSpaceDE w:val="0"/>
        <w:autoSpaceDN w:val="0"/>
        <w:adjustRightInd w:val="0"/>
        <w:rPr>
          <w:b/>
          <w:sz w:val="24"/>
          <w:szCs w:val="24"/>
        </w:rPr>
      </w:pPr>
    </w:p>
    <w:p w:rsidR="002F1E36" w:rsidRPr="002F1E36" w:rsidRDefault="002F1E36" w:rsidP="002F1E36">
      <w:pPr>
        <w:autoSpaceDE w:val="0"/>
        <w:autoSpaceDN w:val="0"/>
        <w:adjustRightInd w:val="0"/>
        <w:rPr>
          <w:b/>
          <w:sz w:val="24"/>
          <w:szCs w:val="24"/>
        </w:rPr>
      </w:pPr>
      <w:r w:rsidRPr="002F1E36">
        <w:rPr>
          <w:b/>
          <w:sz w:val="24"/>
          <w:szCs w:val="24"/>
        </w:rPr>
        <w:t xml:space="preserve">2. Using ArcGIS software – </w:t>
      </w:r>
    </w:p>
    <w:p w:rsidR="002F1E36" w:rsidRPr="002F1E36" w:rsidRDefault="002F1E36" w:rsidP="002F1E36">
      <w:pPr>
        <w:autoSpaceDE w:val="0"/>
        <w:autoSpaceDN w:val="0"/>
        <w:adjustRightInd w:val="0"/>
        <w:ind w:left="720"/>
        <w:rPr>
          <w:b/>
          <w:sz w:val="24"/>
          <w:szCs w:val="24"/>
        </w:rPr>
      </w:pPr>
      <w:r w:rsidRPr="002F1E36">
        <w:rPr>
          <w:b/>
          <w:sz w:val="24"/>
          <w:szCs w:val="24"/>
        </w:rPr>
        <w:t>a. Visual inspection of Bare-earth surface model (DEM) – looking for tile boundary artifacts, gaps and holes.</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No artifacts or errors were observed during the visual inspection of the bare earth model, when displayed at a scale of 1:20,000.  </w:t>
      </w:r>
      <w:proofErr w:type="gramStart"/>
      <w:r w:rsidRPr="002F1E36">
        <w:rPr>
          <w:color w:val="FF0000"/>
          <w:sz w:val="24"/>
          <w:szCs w:val="24"/>
        </w:rPr>
        <w:t>(See Appendix C.)</w:t>
      </w:r>
      <w:proofErr w:type="gramEnd"/>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b. Visual inspection of First-return (highest-hit) surface model (DSM) - looking for tile boundary artifacts, gaps and holes.</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No artifacts or errors were observed during the visual inspection of the highest hit model, when displayed at a resolution of 1:20,000. </w:t>
      </w:r>
      <w:proofErr w:type="gramStart"/>
      <w:r w:rsidRPr="002F1E36">
        <w:rPr>
          <w:color w:val="FF0000"/>
          <w:sz w:val="24"/>
          <w:szCs w:val="24"/>
        </w:rPr>
        <w:t>(See Appendix C.)</w:t>
      </w:r>
      <w:proofErr w:type="gramEnd"/>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 xml:space="preserve">c. Visual inspection of </w:t>
      </w:r>
      <w:proofErr w:type="spellStart"/>
      <w:r w:rsidRPr="002F1E36">
        <w:rPr>
          <w:b/>
          <w:sz w:val="24"/>
          <w:szCs w:val="24"/>
        </w:rPr>
        <w:t>flightline</w:t>
      </w:r>
      <w:proofErr w:type="spellEnd"/>
      <w:r w:rsidRPr="002F1E36">
        <w:rPr>
          <w:b/>
          <w:sz w:val="24"/>
          <w:szCs w:val="24"/>
        </w:rPr>
        <w:t xml:space="preserve"> </w:t>
      </w:r>
      <w:proofErr w:type="spellStart"/>
      <w:r w:rsidRPr="002F1E36">
        <w:rPr>
          <w:b/>
          <w:sz w:val="24"/>
          <w:szCs w:val="24"/>
        </w:rPr>
        <w:t>shapefile</w:t>
      </w:r>
      <w:proofErr w:type="spellEnd"/>
      <w:r w:rsidRPr="002F1E36">
        <w:rPr>
          <w:b/>
          <w:sz w:val="24"/>
          <w:szCs w:val="24"/>
        </w:rPr>
        <w:t xml:space="preserve"> for opposing </w:t>
      </w:r>
      <w:proofErr w:type="spellStart"/>
      <w:r w:rsidRPr="002F1E36">
        <w:rPr>
          <w:b/>
          <w:sz w:val="24"/>
          <w:szCs w:val="24"/>
        </w:rPr>
        <w:t>flightline</w:t>
      </w:r>
      <w:proofErr w:type="spellEnd"/>
      <w:r w:rsidRPr="002F1E36">
        <w:rPr>
          <w:b/>
          <w:sz w:val="24"/>
          <w:szCs w:val="24"/>
        </w:rPr>
        <w:t xml:space="preserve"> pattern.</w:t>
      </w:r>
    </w:p>
    <w:p w:rsidR="002F1E36" w:rsidRPr="002F1E36" w:rsidRDefault="002F1E36" w:rsidP="002F1E36">
      <w:pPr>
        <w:autoSpaceDE w:val="0"/>
        <w:autoSpaceDN w:val="0"/>
        <w:adjustRightInd w:val="0"/>
        <w:rPr>
          <w:color w:val="FF0000"/>
          <w:sz w:val="24"/>
          <w:szCs w:val="24"/>
        </w:rPr>
      </w:pPr>
      <w:proofErr w:type="gramStart"/>
      <w:r w:rsidRPr="002F1E36">
        <w:rPr>
          <w:color w:val="FF0000"/>
          <w:sz w:val="24"/>
          <w:szCs w:val="24"/>
        </w:rPr>
        <w:t xml:space="preserve">Visually inspected three of the Smoothed Best Estimated Trajectory (SBET) </w:t>
      </w:r>
      <w:proofErr w:type="spellStart"/>
      <w:r w:rsidRPr="002F1E36">
        <w:rPr>
          <w:color w:val="FF0000"/>
          <w:sz w:val="24"/>
          <w:szCs w:val="24"/>
        </w:rPr>
        <w:t>shapefiles</w:t>
      </w:r>
      <w:proofErr w:type="spellEnd"/>
      <w:r w:rsidRPr="002F1E36">
        <w:rPr>
          <w:color w:val="FF0000"/>
          <w:sz w:val="24"/>
          <w:szCs w:val="24"/>
        </w:rPr>
        <w:t xml:space="preserve">, using a </w:t>
      </w:r>
      <w:proofErr w:type="spellStart"/>
      <w:r w:rsidRPr="002F1E36">
        <w:rPr>
          <w:color w:val="FF0000"/>
          <w:sz w:val="24"/>
          <w:szCs w:val="24"/>
        </w:rPr>
        <w:t>GPS_Time</w:t>
      </w:r>
      <w:proofErr w:type="spellEnd"/>
      <w:r w:rsidRPr="002F1E36">
        <w:rPr>
          <w:color w:val="FF0000"/>
          <w:sz w:val="24"/>
          <w:szCs w:val="24"/>
        </w:rPr>
        <w:t xml:space="preserve"> field to color-code the points, to determine that adjacent flight lines were in opposing directions.</w:t>
      </w:r>
      <w:proofErr w:type="gramEnd"/>
      <w:r w:rsidRPr="002F1E36">
        <w:rPr>
          <w:color w:val="FF0000"/>
          <w:sz w:val="24"/>
          <w:szCs w:val="24"/>
        </w:rPr>
        <w:t xml:space="preserve">  (</w:t>
      </w:r>
      <w:r w:rsidRPr="002F1E36">
        <w:rPr>
          <w:b/>
          <w:color w:val="000000" w:themeColor="text1"/>
          <w:sz w:val="24"/>
          <w:szCs w:val="24"/>
        </w:rPr>
        <w:t>Note</w:t>
      </w:r>
      <w:r w:rsidRPr="002F1E36">
        <w:rPr>
          <w:color w:val="FF0000"/>
          <w:sz w:val="24"/>
          <w:szCs w:val="24"/>
        </w:rPr>
        <w:t xml:space="preserve"> that for this delivery, as opposed to previous deliveries from 3DiWest/WSI, a </w:t>
      </w:r>
      <w:proofErr w:type="spellStart"/>
      <w:r w:rsidRPr="002F1E36">
        <w:rPr>
          <w:color w:val="FF0000"/>
          <w:sz w:val="24"/>
          <w:szCs w:val="24"/>
        </w:rPr>
        <w:t>GPSTime</w:t>
      </w:r>
      <w:proofErr w:type="spellEnd"/>
      <w:r w:rsidRPr="002F1E36">
        <w:rPr>
          <w:color w:val="FF0000"/>
          <w:sz w:val="24"/>
          <w:szCs w:val="24"/>
        </w:rPr>
        <w:t xml:space="preserve">(s) field was provided as a </w:t>
      </w:r>
      <w:r w:rsidRPr="002F1E36">
        <w:rPr>
          <w:i/>
          <w:color w:val="FF0000"/>
          <w:sz w:val="24"/>
          <w:szCs w:val="24"/>
        </w:rPr>
        <w:t xml:space="preserve">text </w:t>
      </w:r>
      <w:r w:rsidRPr="002F1E36">
        <w:rPr>
          <w:color w:val="FF0000"/>
          <w:sz w:val="24"/>
          <w:szCs w:val="24"/>
        </w:rPr>
        <w:t xml:space="preserve">rather than a </w:t>
      </w:r>
      <w:r w:rsidRPr="002F1E36">
        <w:rPr>
          <w:i/>
          <w:color w:val="FF0000"/>
          <w:sz w:val="24"/>
          <w:szCs w:val="24"/>
        </w:rPr>
        <w:t>numeric</w:t>
      </w:r>
      <w:r w:rsidRPr="002F1E36">
        <w:rPr>
          <w:color w:val="FF0000"/>
          <w:sz w:val="24"/>
          <w:szCs w:val="24"/>
        </w:rPr>
        <w:t xml:space="preserve"> field.  A numeric </w:t>
      </w:r>
      <w:proofErr w:type="spellStart"/>
      <w:r w:rsidRPr="002F1E36">
        <w:rPr>
          <w:color w:val="FF0000"/>
          <w:sz w:val="24"/>
          <w:szCs w:val="24"/>
        </w:rPr>
        <w:t>GPSTime</w:t>
      </w:r>
      <w:proofErr w:type="spellEnd"/>
      <w:r w:rsidRPr="002F1E36">
        <w:rPr>
          <w:color w:val="FF0000"/>
          <w:sz w:val="24"/>
          <w:szCs w:val="24"/>
        </w:rPr>
        <w:t xml:space="preserve"> field needed to be created before its </w:t>
      </w:r>
      <w:proofErr w:type="spellStart"/>
      <w:r w:rsidRPr="002F1E36">
        <w:rPr>
          <w:color w:val="FF0000"/>
          <w:sz w:val="24"/>
          <w:szCs w:val="24"/>
        </w:rPr>
        <w:t>symbology</w:t>
      </w:r>
      <w:proofErr w:type="spellEnd"/>
      <w:r w:rsidRPr="002F1E36">
        <w:rPr>
          <w:color w:val="FF0000"/>
          <w:sz w:val="24"/>
          <w:szCs w:val="24"/>
        </w:rPr>
        <w:t xml:space="preserve"> could be changed using</w:t>
      </w:r>
      <w:r w:rsidRPr="002F1E36">
        <w:rPr>
          <w:b/>
          <w:color w:val="FF0000"/>
          <w:sz w:val="24"/>
          <w:szCs w:val="24"/>
        </w:rPr>
        <w:t xml:space="preserve"> </w:t>
      </w:r>
      <w:proofErr w:type="spellStart"/>
      <w:r w:rsidRPr="002F1E36">
        <w:rPr>
          <w:b/>
          <w:color w:val="FF0000"/>
          <w:sz w:val="24"/>
          <w:szCs w:val="24"/>
        </w:rPr>
        <w:t>Symbology</w:t>
      </w:r>
      <w:proofErr w:type="spellEnd"/>
      <w:r w:rsidRPr="002F1E36">
        <w:rPr>
          <w:b/>
          <w:color w:val="FF0000"/>
          <w:sz w:val="24"/>
          <w:szCs w:val="24"/>
        </w:rPr>
        <w:t xml:space="preserve"> &gt; Quantities &gt; Graduate colors &gt; Value=</w:t>
      </w:r>
      <w:proofErr w:type="spellStart"/>
      <w:r w:rsidRPr="002F1E36">
        <w:rPr>
          <w:b/>
          <w:color w:val="FF0000"/>
          <w:sz w:val="24"/>
          <w:szCs w:val="24"/>
        </w:rPr>
        <w:t>GPS_Time</w:t>
      </w:r>
      <w:proofErr w:type="spellEnd"/>
      <w:r w:rsidRPr="002F1E36">
        <w:rPr>
          <w:b/>
          <w:color w:val="FF0000"/>
          <w:sz w:val="24"/>
          <w:szCs w:val="24"/>
        </w:rPr>
        <w:t>; Classes = 32</w:t>
      </w:r>
      <w:r w:rsidRPr="002F1E36">
        <w:rPr>
          <w:color w:val="FF0000"/>
          <w:sz w:val="24"/>
          <w:szCs w:val="24"/>
        </w:rPr>
        <w:t xml:space="preserve">.  In each case, the </w:t>
      </w:r>
      <w:r w:rsidRPr="002F1E36">
        <w:rPr>
          <w:b/>
          <w:color w:val="FF0000"/>
          <w:sz w:val="24"/>
          <w:szCs w:val="24"/>
        </w:rPr>
        <w:t>Maximum Sample Size</w:t>
      </w:r>
      <w:r w:rsidRPr="002F1E36">
        <w:rPr>
          <w:color w:val="FF0000"/>
          <w:sz w:val="24"/>
          <w:szCs w:val="24"/>
        </w:rPr>
        <w:t xml:space="preserve"> was increased by clicking on </w:t>
      </w:r>
      <w:r w:rsidRPr="002F1E36">
        <w:rPr>
          <w:b/>
          <w:color w:val="FF0000"/>
          <w:sz w:val="24"/>
          <w:szCs w:val="24"/>
        </w:rPr>
        <w:t>Classify &gt; Sampling</w:t>
      </w:r>
      <w:r w:rsidRPr="002F1E36">
        <w:rPr>
          <w:color w:val="FF0000"/>
          <w:sz w:val="24"/>
          <w:szCs w:val="24"/>
        </w:rPr>
        <w:t xml:space="preserve">.) </w:t>
      </w:r>
    </w:p>
    <w:p w:rsidR="002F1E36" w:rsidRPr="002F1E36" w:rsidRDefault="002F1E36" w:rsidP="002F1E36">
      <w:pPr>
        <w:autoSpaceDE w:val="0"/>
        <w:autoSpaceDN w:val="0"/>
        <w:adjustRightInd w:val="0"/>
        <w:rPr>
          <w:color w:val="00B050"/>
          <w:sz w:val="24"/>
          <w:szCs w:val="24"/>
        </w:rPr>
      </w:pPr>
      <w:r w:rsidRPr="002F1E36">
        <w:rPr>
          <w:noProof/>
        </w:rPr>
        <w:lastRenderedPageBreak/>
        <w:drawing>
          <wp:inline distT="0" distB="0" distL="0" distR="0" wp14:anchorId="406B26BA" wp14:editId="69B98CA7">
            <wp:extent cx="5943600" cy="33686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43600" cy="3368675"/>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ind w:left="720"/>
        <w:rPr>
          <w:b/>
          <w:sz w:val="24"/>
          <w:szCs w:val="24"/>
        </w:rPr>
      </w:pPr>
      <w:r w:rsidRPr="002F1E36">
        <w:rPr>
          <w:b/>
          <w:sz w:val="24"/>
          <w:szCs w:val="24"/>
        </w:rPr>
        <w:t xml:space="preserve">d. Review </w:t>
      </w:r>
      <w:proofErr w:type="spellStart"/>
      <w:r w:rsidRPr="002F1E36">
        <w:rPr>
          <w:b/>
          <w:sz w:val="24"/>
          <w:szCs w:val="24"/>
        </w:rPr>
        <w:t>shapefiles</w:t>
      </w:r>
      <w:proofErr w:type="spellEnd"/>
      <w:r w:rsidRPr="002F1E36">
        <w:rPr>
          <w:b/>
          <w:sz w:val="24"/>
          <w:szCs w:val="24"/>
        </w:rPr>
        <w:t xml:space="preserve"> for coverage and completeness and ensure they include correct naming convention, metadata, and attributes.</w:t>
      </w: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All </w:t>
      </w:r>
      <w:proofErr w:type="spellStart"/>
      <w:r w:rsidRPr="002F1E36">
        <w:rPr>
          <w:color w:val="FF0000"/>
          <w:sz w:val="24"/>
          <w:szCs w:val="24"/>
        </w:rPr>
        <w:t>shapefiles</w:t>
      </w:r>
      <w:proofErr w:type="spellEnd"/>
      <w:r w:rsidRPr="002F1E36">
        <w:rPr>
          <w:color w:val="FF0000"/>
          <w:sz w:val="24"/>
          <w:szCs w:val="24"/>
        </w:rPr>
        <w:t xml:space="preserve"> were displayed in ArcMap and visually inspected to confirm coverage and completeness.  Metadata was included for all </w:t>
      </w:r>
      <w:proofErr w:type="spellStart"/>
      <w:r w:rsidRPr="002F1E36">
        <w:rPr>
          <w:color w:val="FF0000"/>
          <w:sz w:val="24"/>
          <w:szCs w:val="24"/>
        </w:rPr>
        <w:t>shapefiles</w:t>
      </w:r>
      <w:proofErr w:type="spellEnd"/>
      <w:r w:rsidRPr="002F1E36">
        <w:rPr>
          <w:color w:val="FF0000"/>
          <w:sz w:val="24"/>
          <w:szCs w:val="24"/>
        </w:rPr>
        <w:t>.</w:t>
      </w:r>
    </w:p>
    <w:p w:rsidR="002F1E36" w:rsidRPr="002F1E36" w:rsidRDefault="002F1E36" w:rsidP="002F1E36">
      <w:pPr>
        <w:autoSpaceDE w:val="0"/>
        <w:autoSpaceDN w:val="0"/>
        <w:adjustRightInd w:val="0"/>
        <w:rPr>
          <w:color w:val="FF0000"/>
          <w:sz w:val="24"/>
          <w:szCs w:val="24"/>
        </w:rPr>
      </w:pPr>
    </w:p>
    <w:p w:rsidR="002F1E36" w:rsidRPr="002F1E36" w:rsidRDefault="002F1E36" w:rsidP="002F1E36">
      <w:pPr>
        <w:autoSpaceDE w:val="0"/>
        <w:autoSpaceDN w:val="0"/>
        <w:adjustRightInd w:val="0"/>
        <w:rPr>
          <w:color w:val="FF0000"/>
          <w:sz w:val="24"/>
          <w:szCs w:val="24"/>
        </w:rPr>
      </w:pPr>
      <w:r w:rsidRPr="002F1E36">
        <w:rPr>
          <w:color w:val="FF0000"/>
          <w:sz w:val="24"/>
          <w:szCs w:val="24"/>
        </w:rPr>
        <w:t xml:space="preserve">Note:  The README files for both the </w:t>
      </w:r>
      <w:proofErr w:type="spellStart"/>
      <w:r w:rsidRPr="002F1E36">
        <w:rPr>
          <w:color w:val="FF0000"/>
          <w:sz w:val="24"/>
          <w:szCs w:val="24"/>
        </w:rPr>
        <w:t>All_Returns</w:t>
      </w:r>
      <w:proofErr w:type="spellEnd"/>
      <w:r w:rsidRPr="002F1E36">
        <w:rPr>
          <w:color w:val="FF0000"/>
          <w:sz w:val="24"/>
          <w:szCs w:val="24"/>
        </w:rPr>
        <w:t xml:space="preserve"> and </w:t>
      </w:r>
      <w:proofErr w:type="spellStart"/>
      <w:r w:rsidRPr="002F1E36">
        <w:rPr>
          <w:color w:val="FF0000"/>
          <w:sz w:val="24"/>
          <w:szCs w:val="24"/>
        </w:rPr>
        <w:t>Ground_Returns</w:t>
      </w:r>
      <w:proofErr w:type="spellEnd"/>
      <w:r w:rsidRPr="002F1E36">
        <w:rPr>
          <w:color w:val="FF0000"/>
          <w:sz w:val="24"/>
          <w:szCs w:val="24"/>
        </w:rPr>
        <w:t xml:space="preserve"> LAS files specified the UTM Zone as “11N”.  These appears to be just a typo in both *.txt files.  All data appear to be in the correct Zone, 12N.</w:t>
      </w:r>
    </w:p>
    <w:p w:rsidR="002F1E36" w:rsidRPr="002F1E36" w:rsidRDefault="002F1E36" w:rsidP="002F1E36">
      <w:pPr>
        <w:autoSpaceDE w:val="0"/>
        <w:autoSpaceDN w:val="0"/>
        <w:adjustRightInd w:val="0"/>
        <w:ind w:firstLine="720"/>
        <w:rPr>
          <w:sz w:val="24"/>
          <w:szCs w:val="24"/>
        </w:rPr>
      </w:pPr>
    </w:p>
    <w:p w:rsidR="002F1E36" w:rsidRPr="002F1E36" w:rsidRDefault="002F1E36" w:rsidP="002F1E36">
      <w:pPr>
        <w:autoSpaceDE w:val="0"/>
        <w:autoSpaceDN w:val="0"/>
        <w:adjustRightInd w:val="0"/>
        <w:rPr>
          <w:sz w:val="24"/>
          <w:szCs w:val="24"/>
        </w:rPr>
      </w:pPr>
    </w:p>
    <w:p w:rsidR="002F1E36" w:rsidRPr="002F1E36" w:rsidRDefault="002F1E36" w:rsidP="002F1E36">
      <w:pPr>
        <w:rPr>
          <w:sz w:val="24"/>
          <w:szCs w:val="24"/>
        </w:rPr>
      </w:pPr>
      <w:r w:rsidRPr="002F1E36">
        <w:rPr>
          <w:sz w:val="24"/>
          <w:szCs w:val="24"/>
        </w:rPr>
        <w:t>If it is determined that the acquired lidar data is insufficient based on the Quality Assurance assessment, the Contractor may be required to reprocess and/or re-fly problem areas to receive full-payment or may be asked to re-negotiate a reduced price of the lidar deliverables. Each Quality Assessment cell (100m by 100m) that does not meet the minimum Technical Specifications will cause a reduction in payment to the Contractor equivalent to the cells percentage of the total area surveyed. If 3 percent or more of the Quality Assessment cells do not meet the minimum Technical Specifications, then the Authorized Purchaser has the right to re-negotiate a reduced price of the lidar deliverables.</w:t>
      </w:r>
    </w:p>
    <w:p w:rsidR="002F1E36" w:rsidRPr="002F1E36" w:rsidRDefault="002F1E36" w:rsidP="002F1E36">
      <w:pPr>
        <w:autoSpaceDE w:val="0"/>
        <w:autoSpaceDN w:val="0"/>
        <w:adjustRightInd w:val="0"/>
        <w:rPr>
          <w:sz w:val="24"/>
          <w:szCs w:val="24"/>
        </w:rPr>
      </w:pPr>
    </w:p>
    <w:p w:rsidR="002F1E36" w:rsidRPr="002F1E36" w:rsidRDefault="002F1E36" w:rsidP="002F1E36">
      <w:r w:rsidRPr="002F1E36">
        <w:br w:type="page"/>
      </w:r>
    </w:p>
    <w:p w:rsidR="002F1E36" w:rsidRPr="002F1E36" w:rsidRDefault="002F1E36" w:rsidP="002F1E36">
      <w:pPr>
        <w:rPr>
          <w:rFonts w:asciiTheme="minorHAnsi" w:hAnsiTheme="minorHAnsi" w:cstheme="minorBidi"/>
          <w:sz w:val="28"/>
          <w:szCs w:val="28"/>
        </w:rPr>
      </w:pPr>
      <w:r w:rsidRPr="002F1E36">
        <w:rPr>
          <w:b/>
          <w:sz w:val="28"/>
          <w:szCs w:val="28"/>
        </w:rPr>
        <w:lastRenderedPageBreak/>
        <w:t>Appendix A:</w:t>
      </w:r>
    </w:p>
    <w:p w:rsidR="002F1E36" w:rsidRPr="002F1E36" w:rsidRDefault="002F1E36" w:rsidP="002F1E36">
      <w:pPr>
        <w:rPr>
          <w:b/>
        </w:rPr>
      </w:pPr>
      <w:r w:rsidRPr="002F1E36">
        <w:rPr>
          <w:b/>
        </w:rPr>
        <w:t>Aggregate Pulse Density</w:t>
      </w:r>
    </w:p>
    <w:p w:rsidR="002F1E36" w:rsidRPr="002F1E36" w:rsidRDefault="002F1E36" w:rsidP="002F1E36">
      <w:r w:rsidRPr="002F1E36">
        <w:t>With minimum set to 8 pulses/m</w:t>
      </w:r>
      <w:r w:rsidRPr="002F1E36">
        <w:rPr>
          <w:vertAlign w:val="superscript"/>
        </w:rPr>
        <w:t>2</w:t>
      </w:r>
      <w:r w:rsidRPr="002F1E36">
        <w:t xml:space="preserve"> and no tiles excluded:</w:t>
      </w:r>
    </w:p>
    <w:p w:rsidR="002F1E36" w:rsidRPr="002F1E36" w:rsidRDefault="002F1E36" w:rsidP="002F1E36">
      <w:pPr>
        <w:rPr>
          <w:b/>
        </w:rPr>
      </w:pPr>
      <w:r w:rsidRPr="002F1E36">
        <w:rPr>
          <w:noProof/>
        </w:rPr>
        <w:drawing>
          <wp:inline distT="0" distB="0" distL="0" distR="0" wp14:anchorId="4A124B11" wp14:editId="3AD6B0B4">
            <wp:extent cx="5943600" cy="37382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5943600" cy="3738245"/>
                    </a:xfrm>
                    <a:prstGeom prst="rect">
                      <a:avLst/>
                    </a:prstGeom>
                  </pic:spPr>
                </pic:pic>
              </a:graphicData>
            </a:graphic>
          </wp:inline>
        </w:drawing>
      </w:r>
    </w:p>
    <w:p w:rsidR="002F1E36" w:rsidRPr="002F1E36" w:rsidRDefault="002F1E36" w:rsidP="002F1E36"/>
    <w:p w:rsidR="002F1E36" w:rsidRPr="002F1E36" w:rsidRDefault="002F1E36" w:rsidP="002F1E36">
      <w:r w:rsidRPr="002F1E36">
        <w:t>With minimum set to 4 pulses/m</w:t>
      </w:r>
      <w:r w:rsidRPr="002F1E36">
        <w:rPr>
          <w:vertAlign w:val="superscript"/>
        </w:rPr>
        <w:t>2</w:t>
      </w:r>
      <w:r w:rsidRPr="002F1E36">
        <w:t xml:space="preserve"> and no tiles excluded:</w:t>
      </w:r>
    </w:p>
    <w:p w:rsidR="002F1E36" w:rsidRPr="002F1E36" w:rsidRDefault="002F1E36" w:rsidP="002F1E36">
      <w:r w:rsidRPr="002F1E36">
        <w:rPr>
          <w:noProof/>
        </w:rPr>
        <w:drawing>
          <wp:inline distT="0" distB="0" distL="0" distR="0" wp14:anchorId="1278E088" wp14:editId="424A6F1D">
            <wp:extent cx="5899895" cy="3514725"/>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01691" cy="3515795"/>
                    </a:xfrm>
                    <a:prstGeom prst="rect">
                      <a:avLst/>
                    </a:prstGeom>
                  </pic:spPr>
                </pic:pic>
              </a:graphicData>
            </a:graphic>
          </wp:inline>
        </w:drawing>
      </w:r>
    </w:p>
    <w:p w:rsidR="002F1E36" w:rsidRPr="002F1E36" w:rsidRDefault="002F1E36" w:rsidP="002F1E36">
      <w:pPr>
        <w:rPr>
          <w:b/>
        </w:rPr>
      </w:pPr>
    </w:p>
    <w:p w:rsidR="002F1E36" w:rsidRPr="002F1E36" w:rsidRDefault="002F1E36" w:rsidP="002F1E36">
      <w:pPr>
        <w:rPr>
          <w:b/>
        </w:rPr>
      </w:pPr>
    </w:p>
    <w:p w:rsidR="002F1E36" w:rsidRPr="002F1E36" w:rsidRDefault="002F1E36" w:rsidP="002F1E36">
      <w:pPr>
        <w:rPr>
          <w:b/>
        </w:rPr>
      </w:pPr>
      <w:r w:rsidRPr="002F1E36">
        <w:rPr>
          <w:b/>
        </w:rPr>
        <w:t>Elevation Outliers</w:t>
      </w:r>
    </w:p>
    <w:p w:rsidR="002F1E36" w:rsidRPr="002F1E36" w:rsidRDefault="002F1E36" w:rsidP="002F1E36">
      <w:pPr>
        <w:rPr>
          <w:b/>
        </w:rPr>
      </w:pPr>
      <w:r w:rsidRPr="002F1E36">
        <w:rPr>
          <w:noProof/>
        </w:rPr>
        <w:drawing>
          <wp:inline distT="0" distB="0" distL="0" distR="0" wp14:anchorId="76FA026F" wp14:editId="703C467F">
            <wp:extent cx="5495925" cy="40461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508542" cy="4055488"/>
                    </a:xfrm>
                    <a:prstGeom prst="rect">
                      <a:avLst/>
                    </a:prstGeom>
                  </pic:spPr>
                </pic:pic>
              </a:graphicData>
            </a:graphic>
          </wp:inline>
        </w:drawing>
      </w:r>
    </w:p>
    <w:p w:rsidR="002F1E36" w:rsidRPr="002F1E36" w:rsidRDefault="002F1E36" w:rsidP="002F1E36">
      <w:pPr>
        <w:rPr>
          <w:b/>
        </w:rPr>
      </w:pPr>
    </w:p>
    <w:p w:rsidR="002F1E36" w:rsidRPr="002F1E36" w:rsidRDefault="002F1E36" w:rsidP="002F1E36">
      <w:pPr>
        <w:rPr>
          <w:noProof/>
        </w:rPr>
      </w:pPr>
    </w:p>
    <w:p w:rsidR="002F1E36" w:rsidRPr="002F1E36" w:rsidRDefault="002F1E36" w:rsidP="002F1E36">
      <w:pPr>
        <w:rPr>
          <w:b/>
          <w:sz w:val="24"/>
          <w:szCs w:val="24"/>
        </w:rPr>
      </w:pPr>
      <w:r w:rsidRPr="002F1E36">
        <w:lastRenderedPageBreak/>
        <w:t xml:space="preserve">Examples of elevation outliers (possibly birds in flight) that were not detected by the catalog command when using the switch </w:t>
      </w:r>
      <w:r w:rsidRPr="002F1E36">
        <w:rPr>
          <w:i/>
        </w:rPr>
        <w:t>/outlier</w:t>
      </w:r>
      <w:proofErr w:type="gramStart"/>
      <w:r w:rsidRPr="002F1E36">
        <w:rPr>
          <w:i/>
        </w:rPr>
        <w:t>:2</w:t>
      </w:r>
      <w:proofErr w:type="gramEnd"/>
      <w:r w:rsidRPr="002F1E36">
        <w:t xml:space="preserve">.  </w:t>
      </w:r>
      <w:r w:rsidRPr="002F1E36">
        <w:rPr>
          <w:noProof/>
        </w:rPr>
        <w:drawing>
          <wp:inline distT="0" distB="0" distL="0" distR="0" wp14:anchorId="5C118D85" wp14:editId="286F1324">
            <wp:extent cx="5943600" cy="41408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43600" cy="4140835"/>
                    </a:xfrm>
                    <a:prstGeom prst="rect">
                      <a:avLst/>
                    </a:prstGeom>
                  </pic:spPr>
                </pic:pic>
              </a:graphicData>
            </a:graphic>
          </wp:inline>
        </w:drawing>
      </w:r>
    </w:p>
    <w:p w:rsidR="002F1E36" w:rsidRPr="002F1E36" w:rsidRDefault="002F1E36" w:rsidP="002F1E36">
      <w:pPr>
        <w:rPr>
          <w:b/>
          <w:sz w:val="24"/>
          <w:szCs w:val="24"/>
        </w:rPr>
      </w:pPr>
      <w:r w:rsidRPr="002F1E36">
        <w:rPr>
          <w:b/>
          <w:sz w:val="24"/>
          <w:szCs w:val="24"/>
        </w:rPr>
        <w:br w:type="page"/>
      </w:r>
    </w:p>
    <w:p w:rsidR="002F1E36" w:rsidRPr="002F1E36" w:rsidRDefault="002F1E36" w:rsidP="002F1E36">
      <w:pPr>
        <w:rPr>
          <w:rFonts w:eastAsiaTheme="majorEastAsia"/>
          <w:b/>
          <w:spacing w:val="5"/>
          <w:kern w:val="28"/>
          <w:sz w:val="24"/>
          <w:szCs w:val="24"/>
        </w:rPr>
      </w:pPr>
    </w:p>
    <w:p w:rsidR="002F1E36" w:rsidRPr="002F1E36" w:rsidRDefault="002F1E36" w:rsidP="002F1E36">
      <w:pPr>
        <w:pBdr>
          <w:bottom w:val="single" w:sz="8" w:space="4" w:color="4F81BD" w:themeColor="accent1"/>
        </w:pBdr>
        <w:spacing w:after="300"/>
        <w:contextualSpacing/>
        <w:rPr>
          <w:rFonts w:eastAsiaTheme="majorEastAsia"/>
          <w:b/>
          <w:spacing w:val="5"/>
          <w:kern w:val="28"/>
          <w:sz w:val="28"/>
          <w:szCs w:val="28"/>
        </w:rPr>
      </w:pPr>
      <w:r w:rsidRPr="002F1E36">
        <w:rPr>
          <w:rFonts w:eastAsiaTheme="majorEastAsia"/>
          <w:b/>
          <w:spacing w:val="5"/>
          <w:kern w:val="28"/>
          <w:sz w:val="28"/>
          <w:szCs w:val="28"/>
        </w:rPr>
        <w:t>Appendix B:</w:t>
      </w:r>
    </w:p>
    <w:p w:rsidR="002F1E36" w:rsidRPr="002F1E36" w:rsidRDefault="002F1E36" w:rsidP="002F1E36">
      <w:pPr>
        <w:pBdr>
          <w:bottom w:val="single" w:sz="8" w:space="4" w:color="4F81BD" w:themeColor="accent1"/>
        </w:pBdr>
        <w:spacing w:after="300"/>
        <w:contextualSpacing/>
        <w:rPr>
          <w:rFonts w:eastAsiaTheme="majorEastAsia"/>
          <w:spacing w:val="5"/>
          <w:kern w:val="28"/>
        </w:rPr>
      </w:pPr>
      <w:proofErr w:type="gramStart"/>
      <w:r w:rsidRPr="002F1E36">
        <w:rPr>
          <w:rFonts w:eastAsiaTheme="majorEastAsia"/>
          <w:spacing w:val="5"/>
          <w:kern w:val="28"/>
        </w:rPr>
        <w:t xml:space="preserve">Adapted from the report </w:t>
      </w:r>
      <w:r w:rsidRPr="002F1E36">
        <w:rPr>
          <w:rFonts w:eastAsiaTheme="majorEastAsia"/>
          <w:i/>
          <w:spacing w:val="5"/>
          <w:kern w:val="28"/>
        </w:rPr>
        <w:t>RSAC_QA-Report_forShastaTrinity_Jan30_2012.docx</w:t>
      </w:r>
      <w:r w:rsidRPr="002F1E36">
        <w:rPr>
          <w:rFonts w:eastAsiaTheme="majorEastAsia"/>
          <w:spacing w:val="5"/>
          <w:kern w:val="28"/>
        </w:rPr>
        <w:t>.</w:t>
      </w:r>
      <w:proofErr w:type="gramEnd"/>
    </w:p>
    <w:p w:rsidR="002F1E36" w:rsidRPr="002F1E36" w:rsidRDefault="002F1E36" w:rsidP="002F1E36">
      <w:pPr>
        <w:pBdr>
          <w:bottom w:val="single" w:sz="8" w:space="4" w:color="4F81BD" w:themeColor="accent1"/>
        </w:pBdr>
        <w:spacing w:after="300"/>
        <w:contextualSpacing/>
        <w:rPr>
          <w:rFonts w:asciiTheme="majorHAnsi" w:eastAsiaTheme="majorEastAsia" w:hAnsiTheme="majorHAnsi" w:cstheme="majorBidi"/>
          <w:color w:val="17365D" w:themeColor="text2" w:themeShade="BF"/>
          <w:spacing w:val="5"/>
          <w:kern w:val="28"/>
          <w:sz w:val="48"/>
          <w:szCs w:val="48"/>
        </w:rPr>
      </w:pPr>
    </w:p>
    <w:p w:rsidR="002F1E36" w:rsidRPr="002F1E36" w:rsidRDefault="002F1E36" w:rsidP="002F1E36">
      <w:pPr>
        <w:pBdr>
          <w:bottom w:val="single" w:sz="8" w:space="4" w:color="4F81BD" w:themeColor="accent1"/>
        </w:pBdr>
        <w:spacing w:after="300"/>
        <w:contextualSpacing/>
        <w:rPr>
          <w:rFonts w:eastAsiaTheme="majorEastAsia"/>
          <w:color w:val="17365D" w:themeColor="text2" w:themeShade="BF"/>
          <w:spacing w:val="5"/>
          <w:kern w:val="28"/>
          <w:sz w:val="48"/>
          <w:szCs w:val="48"/>
        </w:rPr>
      </w:pPr>
      <w:r w:rsidRPr="002F1E36">
        <w:rPr>
          <w:rFonts w:eastAsiaTheme="majorEastAsia"/>
          <w:color w:val="17365D" w:themeColor="text2" w:themeShade="BF"/>
          <w:spacing w:val="5"/>
          <w:kern w:val="28"/>
          <w:sz w:val="48"/>
          <w:szCs w:val="48"/>
        </w:rPr>
        <w:t xml:space="preserve">Checking </w:t>
      </w:r>
      <w:proofErr w:type="spellStart"/>
      <w:r w:rsidRPr="002F1E36">
        <w:rPr>
          <w:rFonts w:eastAsiaTheme="majorEastAsia"/>
          <w:color w:val="17365D" w:themeColor="text2" w:themeShade="BF"/>
          <w:spacing w:val="5"/>
          <w:kern w:val="28"/>
          <w:sz w:val="48"/>
          <w:szCs w:val="48"/>
        </w:rPr>
        <w:t>Flightline</w:t>
      </w:r>
      <w:proofErr w:type="spellEnd"/>
      <w:r w:rsidRPr="002F1E36">
        <w:rPr>
          <w:rFonts w:eastAsiaTheme="majorEastAsia"/>
          <w:color w:val="17365D" w:themeColor="text2" w:themeShade="BF"/>
          <w:spacing w:val="5"/>
          <w:kern w:val="28"/>
          <w:sz w:val="48"/>
          <w:szCs w:val="48"/>
        </w:rPr>
        <w:t xml:space="preserve"> </w:t>
      </w:r>
      <w:proofErr w:type="spellStart"/>
      <w:r w:rsidRPr="002F1E36">
        <w:rPr>
          <w:rFonts w:eastAsiaTheme="majorEastAsia"/>
          <w:color w:val="17365D" w:themeColor="text2" w:themeShade="BF"/>
          <w:spacing w:val="5"/>
          <w:kern w:val="28"/>
          <w:sz w:val="48"/>
          <w:szCs w:val="48"/>
        </w:rPr>
        <w:t>Sidelap</w:t>
      </w:r>
      <w:proofErr w:type="spellEnd"/>
    </w:p>
    <w:p w:rsidR="002F1E36" w:rsidRPr="002F1E36" w:rsidRDefault="002F1E36" w:rsidP="002F1E36">
      <w:r w:rsidRPr="002F1E36">
        <w:rPr>
          <w:b/>
        </w:rPr>
        <w:t xml:space="preserve">Step 1: </w:t>
      </w:r>
      <w:r w:rsidRPr="002F1E36">
        <w:t xml:space="preserve">Create </w:t>
      </w:r>
      <w:r w:rsidRPr="002F1E36">
        <w:rPr>
          <w:b/>
        </w:rPr>
        <w:t xml:space="preserve">File </w:t>
      </w:r>
      <w:proofErr w:type="spellStart"/>
      <w:r w:rsidRPr="002F1E36">
        <w:rPr>
          <w:b/>
        </w:rPr>
        <w:t>Geodatabase</w:t>
      </w:r>
      <w:proofErr w:type="spellEnd"/>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45C9574E" wp14:editId="58272DB7">
            <wp:extent cx="5286191" cy="3371850"/>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5306314" cy="3384686"/>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b/>
        </w:rPr>
      </w:pPr>
    </w:p>
    <w:p w:rsidR="002F1E36" w:rsidRPr="002F1E36" w:rsidRDefault="002F1E36" w:rsidP="002F1E36">
      <w:pPr>
        <w:rPr>
          <w:rFonts w:asciiTheme="majorHAnsi" w:hAnsiTheme="majorHAnsi"/>
          <w:b/>
        </w:rPr>
      </w:pPr>
      <w:r w:rsidRPr="002F1E36">
        <w:rPr>
          <w:rFonts w:asciiTheme="majorHAnsi" w:hAnsiTheme="majorHAnsi"/>
          <w:b/>
        </w:rPr>
        <w:br w:type="page"/>
      </w:r>
    </w:p>
    <w:p w:rsidR="002F1E36" w:rsidRPr="002F1E36" w:rsidRDefault="002F1E36" w:rsidP="002F1E36">
      <w:r w:rsidRPr="002F1E36">
        <w:rPr>
          <w:b/>
        </w:rPr>
        <w:lastRenderedPageBreak/>
        <w:t xml:space="preserve">Step 2: </w:t>
      </w:r>
      <w:r w:rsidRPr="002F1E36">
        <w:t xml:space="preserve">In </w:t>
      </w:r>
      <w:proofErr w:type="spellStart"/>
      <w:r w:rsidRPr="002F1E36">
        <w:rPr>
          <w:b/>
        </w:rPr>
        <w:t>ArcToolbox</w:t>
      </w:r>
      <w:proofErr w:type="spellEnd"/>
      <w:r w:rsidRPr="002F1E36">
        <w:rPr>
          <w:b/>
        </w:rPr>
        <w:t xml:space="preserve"> &gt; 3DAnalyst &gt; Conversion &gt; From File &gt; LAS to Multipoint</w:t>
      </w:r>
      <w:r w:rsidRPr="002F1E36">
        <w:t xml:space="preserve">, convert a LAS tile to multipoint (as a </w:t>
      </w:r>
      <w:r w:rsidRPr="002F1E36">
        <w:rPr>
          <w:b/>
        </w:rPr>
        <w:t>Feature Class</w:t>
      </w:r>
      <w:r w:rsidRPr="002F1E36">
        <w:t xml:space="preserve"> in the newly created </w:t>
      </w:r>
      <w:r w:rsidRPr="002F1E36">
        <w:rPr>
          <w:b/>
        </w:rPr>
        <w:t xml:space="preserve">File </w:t>
      </w:r>
      <w:proofErr w:type="spellStart"/>
      <w:r w:rsidRPr="002F1E36">
        <w:rPr>
          <w:b/>
        </w:rPr>
        <w:t>Geodatabase</w:t>
      </w:r>
      <w:proofErr w:type="spellEnd"/>
      <w:r w:rsidRPr="002F1E36">
        <w:t xml:space="preserve">). Be sure to include the </w:t>
      </w:r>
      <w:proofErr w:type="spellStart"/>
      <w:r w:rsidRPr="002F1E36">
        <w:rPr>
          <w:b/>
        </w:rPr>
        <w:t>GPS_time</w:t>
      </w:r>
      <w:proofErr w:type="spellEnd"/>
      <w:r w:rsidRPr="002F1E36">
        <w:t xml:space="preserve"> attribute in the output </w:t>
      </w:r>
      <w:r w:rsidRPr="002F1E36">
        <w:rPr>
          <w:b/>
        </w:rPr>
        <w:t>Feature Class</w:t>
      </w:r>
      <w:r w:rsidRPr="002F1E36">
        <w:t>.</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164CA0E4" wp14:editId="14C51B74">
            <wp:extent cx="5334000" cy="6088445"/>
            <wp:effectExtent l="0" t="0" r="0" b="762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364232" cy="6122953"/>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rPr>
      </w:pPr>
    </w:p>
    <w:p w:rsidR="002F1E36" w:rsidRPr="002F1E36" w:rsidRDefault="002F1E36" w:rsidP="002F1E36">
      <w:pPr>
        <w:rPr>
          <w:rFonts w:asciiTheme="majorHAnsi" w:hAnsiTheme="majorHAnsi"/>
        </w:rPr>
      </w:pPr>
      <w:r w:rsidRPr="002F1E36">
        <w:rPr>
          <w:rFonts w:asciiTheme="majorHAnsi" w:hAnsiTheme="majorHAnsi"/>
        </w:rPr>
        <w:t xml:space="preserve">Add the new multipoint feature class to an ArcMap session.  Open its attribute table, left-click on its </w:t>
      </w:r>
      <w:r w:rsidRPr="002F1E36">
        <w:rPr>
          <w:rFonts w:asciiTheme="majorHAnsi" w:hAnsiTheme="majorHAnsi"/>
          <w:b/>
        </w:rPr>
        <w:t>Table Options</w:t>
      </w:r>
      <w:r w:rsidRPr="002F1E36">
        <w:rPr>
          <w:rFonts w:asciiTheme="majorHAnsi" w:hAnsiTheme="majorHAnsi"/>
        </w:rPr>
        <w:t xml:space="preserve"> and select </w:t>
      </w:r>
      <w:r w:rsidRPr="002F1E36">
        <w:rPr>
          <w:rFonts w:asciiTheme="majorHAnsi" w:hAnsiTheme="majorHAnsi"/>
          <w:b/>
        </w:rPr>
        <w:t>Turn All Fields On</w:t>
      </w:r>
      <w:r w:rsidRPr="002F1E36">
        <w:rPr>
          <w:rFonts w:asciiTheme="majorHAnsi" w:hAnsiTheme="majorHAnsi"/>
        </w:rPr>
        <w:t xml:space="preserve">.  This will make the </w:t>
      </w:r>
      <w:proofErr w:type="spellStart"/>
      <w:r w:rsidRPr="002F1E36">
        <w:rPr>
          <w:rFonts w:asciiTheme="majorHAnsi" w:hAnsiTheme="majorHAnsi"/>
          <w:b/>
        </w:rPr>
        <w:t>GPSTime</w:t>
      </w:r>
      <w:proofErr w:type="spellEnd"/>
      <w:r w:rsidRPr="002F1E36">
        <w:rPr>
          <w:rFonts w:asciiTheme="majorHAnsi" w:hAnsiTheme="majorHAnsi"/>
        </w:rPr>
        <w:t xml:space="preserve"> field visible.</w:t>
      </w:r>
    </w:p>
    <w:p w:rsidR="002F1E36" w:rsidRPr="002F1E36" w:rsidRDefault="002F1E36" w:rsidP="002F1E36">
      <w:pPr>
        <w:rPr>
          <w:rFonts w:asciiTheme="majorHAnsi" w:hAnsiTheme="majorHAnsi"/>
        </w:rPr>
      </w:pPr>
    </w:p>
    <w:p w:rsidR="002F1E36" w:rsidRPr="002F1E36" w:rsidRDefault="002F1E36" w:rsidP="002F1E36">
      <w:pPr>
        <w:rPr>
          <w:b/>
        </w:rPr>
      </w:pPr>
    </w:p>
    <w:p w:rsidR="002F1E36" w:rsidRPr="002F1E36" w:rsidRDefault="002F1E36" w:rsidP="002F1E36">
      <w:pPr>
        <w:rPr>
          <w:color w:val="0000FF" w:themeColor="hyperlink"/>
          <w:u w:val="single"/>
        </w:rPr>
      </w:pPr>
      <w:r w:rsidRPr="002F1E36">
        <w:rPr>
          <w:b/>
        </w:rPr>
        <w:t xml:space="preserve">Step 3: </w:t>
      </w:r>
      <w:r w:rsidRPr="002F1E36">
        <w:t xml:space="preserve">Add the Lidar GPS tool </w:t>
      </w:r>
      <w:proofErr w:type="spellStart"/>
      <w:r w:rsidRPr="002F1E36">
        <w:t>AddIn</w:t>
      </w:r>
      <w:proofErr w:type="spellEnd"/>
      <w:r w:rsidRPr="002F1E36">
        <w:t xml:space="preserve"> (</w:t>
      </w:r>
      <w:proofErr w:type="spellStart"/>
      <w:r w:rsidRPr="002F1E36">
        <w:rPr>
          <w:i/>
        </w:rPr>
        <w:t>LidarGpsTime.esriAddIn</w:t>
      </w:r>
      <w:proofErr w:type="spellEnd"/>
      <w:r w:rsidRPr="002F1E36">
        <w:t xml:space="preserve">) from the following location: </w:t>
      </w:r>
      <w:hyperlink r:id="rId14" w:history="1">
        <w:r w:rsidRPr="002F1E36">
          <w:rPr>
            <w:color w:val="0000FF" w:themeColor="hyperlink"/>
            <w:u w:val="single"/>
          </w:rPr>
          <w:t>\\166.2.126.25\lidar\LAS_AttributeConversionTool\lidarGpsTime.esriAddIn</w:t>
        </w:r>
      </w:hyperlink>
    </w:p>
    <w:p w:rsidR="002F1E36" w:rsidRPr="002F1E36" w:rsidRDefault="002F1E36" w:rsidP="002F1E36">
      <w:pPr>
        <w:rPr>
          <w:b/>
        </w:rPr>
      </w:pPr>
    </w:p>
    <w:p w:rsidR="002F1E36" w:rsidRPr="002F1E36" w:rsidRDefault="002F1E36" w:rsidP="002F1E36">
      <w:r w:rsidRPr="002F1E36">
        <w:rPr>
          <w:b/>
        </w:rPr>
        <w:t>(</w:t>
      </w:r>
      <w:r w:rsidRPr="002F1E36">
        <w:rPr>
          <w:b/>
          <w:color w:val="FF0000"/>
        </w:rPr>
        <w:t>NOTE:</w:t>
      </w:r>
      <w:r w:rsidRPr="002F1E36">
        <w:t xml:space="preserve"> Contact Abigail Schaaf at RSAC if you encounter problems downloading or running the tool.)</w:t>
      </w:r>
    </w:p>
    <w:p w:rsidR="002F1E36" w:rsidRPr="002F1E36" w:rsidRDefault="002F1E36" w:rsidP="002F1E36"/>
    <w:p w:rsidR="002F1E36" w:rsidRPr="002F1E36" w:rsidRDefault="002F1E36" w:rsidP="002F1E36">
      <w:r w:rsidRPr="002F1E36">
        <w:lastRenderedPageBreak/>
        <w:t xml:space="preserve">Use this tool to convert the </w:t>
      </w:r>
      <w:proofErr w:type="spellStart"/>
      <w:r w:rsidRPr="002F1E36">
        <w:t>GpsTime</w:t>
      </w:r>
      <w:proofErr w:type="spellEnd"/>
      <w:r w:rsidRPr="002F1E36">
        <w:t xml:space="preserve"> field to a readable field in the Attribute table (renames as GpsTime2). This GpsTime2 field is used to symbolize the lidar points and represent </w:t>
      </w:r>
      <w:proofErr w:type="spellStart"/>
      <w:r w:rsidRPr="002F1E36">
        <w:t>flightline</w:t>
      </w:r>
      <w:proofErr w:type="spellEnd"/>
      <w:r w:rsidRPr="002F1E36">
        <w:t xml:space="preserve"> paths.</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51D84F0A" wp14:editId="725D2485">
            <wp:extent cx="1680354" cy="788673"/>
            <wp:effectExtent l="19050" t="0" r="0" b="0"/>
            <wp:docPr id="9"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srcRect/>
                    <a:stretch>
                      <a:fillRect/>
                    </a:stretch>
                  </pic:blipFill>
                  <pic:spPr bwMode="auto">
                    <a:xfrm>
                      <a:off x="0" y="0"/>
                      <a:ext cx="1680018" cy="788515"/>
                    </a:xfrm>
                    <a:prstGeom prst="rect">
                      <a:avLst/>
                    </a:prstGeom>
                    <a:noFill/>
                    <a:ln w="9525">
                      <a:noFill/>
                      <a:miter lim="800000"/>
                      <a:headEnd/>
                      <a:tailEnd/>
                    </a:ln>
                  </pic:spPr>
                </pic:pic>
              </a:graphicData>
            </a:graphic>
          </wp:inline>
        </w:drawing>
      </w:r>
      <w:r w:rsidRPr="002F1E36">
        <w:rPr>
          <w:rFonts w:asciiTheme="majorHAnsi" w:hAnsiTheme="majorHAnsi"/>
        </w:rPr>
        <w:t xml:space="preserve"> </w:t>
      </w:r>
      <w:r w:rsidRPr="002F1E36">
        <w:rPr>
          <w:rFonts w:asciiTheme="majorHAnsi" w:hAnsiTheme="majorHAnsi"/>
          <w:noProof/>
        </w:rPr>
        <w:drawing>
          <wp:inline distT="0" distB="0" distL="0" distR="0" wp14:anchorId="7A4F061D" wp14:editId="44AA73DB">
            <wp:extent cx="1706880" cy="1265452"/>
            <wp:effectExtent l="19050" t="0" r="762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6" cstate="print"/>
                    <a:srcRect r="56390" b="64610"/>
                    <a:stretch>
                      <a:fillRect/>
                    </a:stretch>
                  </pic:blipFill>
                  <pic:spPr bwMode="auto">
                    <a:xfrm>
                      <a:off x="0" y="0"/>
                      <a:ext cx="1706880" cy="1265452"/>
                    </a:xfrm>
                    <a:prstGeom prst="rect">
                      <a:avLst/>
                    </a:prstGeom>
                    <a:noFill/>
                    <a:ln w="9525">
                      <a:noFill/>
                      <a:miter lim="800000"/>
                      <a:headEnd/>
                      <a:tailEnd/>
                    </a:ln>
                  </pic:spPr>
                </pic:pic>
              </a:graphicData>
            </a:graphic>
          </wp:inline>
        </w:drawing>
      </w:r>
    </w:p>
    <w:p w:rsidR="002F1E36" w:rsidRPr="002F1E36" w:rsidRDefault="002F1E36" w:rsidP="002F1E36">
      <w:pPr>
        <w:rPr>
          <w:rFonts w:asciiTheme="majorHAnsi" w:hAnsiTheme="majorHAnsi"/>
        </w:rPr>
      </w:pPr>
    </w:p>
    <w:p w:rsidR="002F1E36" w:rsidRPr="002F1E36" w:rsidRDefault="002F1E36" w:rsidP="002F1E36">
      <w:r w:rsidRPr="002F1E36">
        <w:rPr>
          <w:b/>
        </w:rPr>
        <w:t xml:space="preserve">Step 4: </w:t>
      </w:r>
      <w:r w:rsidRPr="002F1E36">
        <w:t xml:space="preserve">From the </w:t>
      </w:r>
      <w:proofErr w:type="spellStart"/>
      <w:r w:rsidRPr="002F1E36">
        <w:t>Symbology</w:t>
      </w:r>
      <w:proofErr w:type="spellEnd"/>
      <w:r w:rsidRPr="002F1E36">
        <w:t xml:space="preserve"> tab, choose Quantities and Graduated colors. Choose GpsTime2 from the Value Field and then click the Classify button to set the breaks and number of classes based on the histogram (see below). You can see where the natural breaks are for the different time chunks – each one likely corresponds to a different flight line. Make sure you have a class that captures each time chunk.</w:t>
      </w:r>
    </w:p>
    <w:p w:rsidR="002F1E36" w:rsidRPr="002F1E36" w:rsidRDefault="002F1E36" w:rsidP="002F1E36">
      <w:pPr>
        <w:rPr>
          <w:rFonts w:asciiTheme="majorHAnsi" w:hAnsiTheme="majorHAnsi"/>
        </w:rPr>
      </w:pPr>
      <w:r w:rsidRPr="002F1E36">
        <w:rPr>
          <w:rFonts w:asciiTheme="majorHAnsi" w:hAnsiTheme="majorHAnsi"/>
          <w:noProof/>
        </w:rPr>
        <w:drawing>
          <wp:inline distT="0" distB="0" distL="0" distR="0" wp14:anchorId="36DAA937" wp14:editId="7D9A78EB">
            <wp:extent cx="2793161" cy="2151221"/>
            <wp:effectExtent l="19050" t="0" r="7189"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2798644" cy="2155443"/>
                    </a:xfrm>
                    <a:prstGeom prst="rect">
                      <a:avLst/>
                    </a:prstGeom>
                    <a:noFill/>
                    <a:ln w="9525">
                      <a:noFill/>
                      <a:miter lim="800000"/>
                      <a:headEnd/>
                      <a:tailEnd/>
                    </a:ln>
                  </pic:spPr>
                </pic:pic>
              </a:graphicData>
            </a:graphic>
          </wp:inline>
        </w:drawing>
      </w:r>
      <w:r w:rsidRPr="002F1E36">
        <w:rPr>
          <w:rFonts w:asciiTheme="majorHAnsi" w:hAnsiTheme="majorHAnsi"/>
        </w:rPr>
        <w:t xml:space="preserve"> </w:t>
      </w:r>
      <w:r w:rsidRPr="002F1E36">
        <w:rPr>
          <w:rFonts w:asciiTheme="majorHAnsi" w:hAnsiTheme="majorHAnsi"/>
          <w:noProof/>
        </w:rPr>
        <w:drawing>
          <wp:inline distT="0" distB="0" distL="0" distR="0" wp14:anchorId="2A1DDCB0" wp14:editId="56A81571">
            <wp:extent cx="2715775" cy="2145909"/>
            <wp:effectExtent l="19050" t="0" r="8375" b="0"/>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print"/>
                    <a:srcRect/>
                    <a:stretch>
                      <a:fillRect/>
                    </a:stretch>
                  </pic:blipFill>
                  <pic:spPr bwMode="auto">
                    <a:xfrm>
                      <a:off x="0" y="0"/>
                      <a:ext cx="2720924" cy="2149977"/>
                    </a:xfrm>
                    <a:prstGeom prst="rect">
                      <a:avLst/>
                    </a:prstGeom>
                    <a:noFill/>
                    <a:ln w="9525">
                      <a:noFill/>
                      <a:miter lim="800000"/>
                      <a:headEnd/>
                      <a:tailEnd/>
                    </a:ln>
                  </pic:spPr>
                </pic:pic>
              </a:graphicData>
            </a:graphic>
          </wp:inline>
        </w:drawing>
      </w:r>
    </w:p>
    <w:p w:rsidR="002F1E36" w:rsidRPr="002F1E36" w:rsidRDefault="002F1E36" w:rsidP="002F1E36">
      <w:r w:rsidRPr="002F1E36">
        <w:rPr>
          <w:b/>
        </w:rPr>
        <w:t xml:space="preserve">Step 5: </w:t>
      </w:r>
      <w:r w:rsidRPr="002F1E36">
        <w:t xml:space="preserve">Let the multipoint tile draw with the </w:t>
      </w:r>
      <w:proofErr w:type="spellStart"/>
      <w:r w:rsidRPr="002F1E36">
        <w:t>symbology</w:t>
      </w:r>
      <w:proofErr w:type="spellEnd"/>
      <w:r w:rsidRPr="002F1E36">
        <w:t xml:space="preserve"> you have given it. The </w:t>
      </w:r>
      <w:proofErr w:type="spellStart"/>
      <w:r w:rsidRPr="002F1E36">
        <w:t>flightlines</w:t>
      </w:r>
      <w:proofErr w:type="spellEnd"/>
      <w:r w:rsidRPr="002F1E36">
        <w:t xml:space="preserve"> should be apparent if you have symbolized it with the right number of classes and with the proper break locations. It is obvious from this rendering that there is ~50% </w:t>
      </w:r>
      <w:proofErr w:type="spellStart"/>
      <w:r w:rsidRPr="002F1E36">
        <w:t>sidelap</w:t>
      </w:r>
      <w:proofErr w:type="spellEnd"/>
      <w:r w:rsidRPr="002F1E36">
        <w:t xml:space="preserve"> between </w:t>
      </w:r>
      <w:proofErr w:type="spellStart"/>
      <w:r w:rsidRPr="002F1E36">
        <w:t>flightlines</w:t>
      </w:r>
      <w:proofErr w:type="spellEnd"/>
      <w:r w:rsidRPr="002F1E36">
        <w:t>.</w:t>
      </w:r>
    </w:p>
    <w:p w:rsidR="002F1E36" w:rsidRPr="002F1E36" w:rsidRDefault="002F1E36" w:rsidP="002F1E36">
      <w:pPr>
        <w:autoSpaceDE w:val="0"/>
        <w:autoSpaceDN w:val="0"/>
        <w:adjustRightInd w:val="0"/>
        <w:ind w:left="720"/>
        <w:rPr>
          <w:sz w:val="24"/>
          <w:szCs w:val="24"/>
        </w:rPr>
      </w:pPr>
    </w:p>
    <w:p w:rsidR="002F1E36" w:rsidRPr="002F1E36" w:rsidRDefault="002F1E36" w:rsidP="002F1E36">
      <w:pPr>
        <w:rPr>
          <w:b/>
        </w:rPr>
      </w:pPr>
      <w:r w:rsidRPr="002F1E36">
        <w:rPr>
          <w:b/>
        </w:rPr>
        <w:br w:type="page"/>
      </w:r>
    </w:p>
    <w:p w:rsidR="002F1E36" w:rsidRPr="002F1E36" w:rsidRDefault="002F1E36" w:rsidP="002F1E36">
      <w:pPr>
        <w:rPr>
          <w:b/>
          <w:sz w:val="28"/>
          <w:szCs w:val="28"/>
        </w:rPr>
      </w:pPr>
      <w:r w:rsidRPr="002F1E36">
        <w:rPr>
          <w:b/>
          <w:sz w:val="28"/>
          <w:szCs w:val="28"/>
        </w:rPr>
        <w:lastRenderedPageBreak/>
        <w:t>Appendix C:</w:t>
      </w:r>
    </w:p>
    <w:p w:rsidR="002F1E36" w:rsidRPr="002F1E36" w:rsidRDefault="002F1E36" w:rsidP="002F1E36">
      <w:pPr>
        <w:autoSpaceDE w:val="0"/>
        <w:autoSpaceDN w:val="0"/>
        <w:adjustRightInd w:val="0"/>
        <w:rPr>
          <w:sz w:val="24"/>
          <w:szCs w:val="24"/>
        </w:rPr>
      </w:pPr>
      <w:r w:rsidRPr="002F1E36">
        <w:rPr>
          <w:sz w:val="24"/>
          <w:szCs w:val="24"/>
        </w:rPr>
        <w:t>Produce mosaic of the bare earth tiles:</w:t>
      </w:r>
    </w:p>
    <w:p w:rsidR="002F1E36" w:rsidRPr="002F1E36" w:rsidRDefault="002F1E36" w:rsidP="002F1E36">
      <w:pPr>
        <w:autoSpaceDE w:val="0"/>
        <w:autoSpaceDN w:val="0"/>
        <w:adjustRightInd w:val="0"/>
        <w:rPr>
          <w:b/>
          <w:sz w:val="24"/>
          <w:szCs w:val="24"/>
        </w:rPr>
      </w:pPr>
      <w:proofErr w:type="spellStart"/>
      <w:r w:rsidRPr="002F1E36">
        <w:rPr>
          <w:b/>
          <w:sz w:val="24"/>
          <w:szCs w:val="24"/>
        </w:rPr>
        <w:t>ArcToolbox</w:t>
      </w:r>
      <w:proofErr w:type="spellEnd"/>
      <w:r w:rsidRPr="002F1E36">
        <w:rPr>
          <w:b/>
          <w:sz w:val="24"/>
          <w:szCs w:val="24"/>
        </w:rPr>
        <w:t xml:space="preserve"> &gt; Data Management Tools &gt; Raster &gt; Raster Dataset &gt; Mosaic to New Raster</w:t>
      </w:r>
    </w:p>
    <w:p w:rsidR="002F1E36" w:rsidRPr="002F1E36" w:rsidRDefault="002F1E36" w:rsidP="002F1E36">
      <w:pPr>
        <w:autoSpaceDE w:val="0"/>
        <w:autoSpaceDN w:val="0"/>
        <w:adjustRightInd w:val="0"/>
        <w:rPr>
          <w:sz w:val="24"/>
          <w:szCs w:val="24"/>
        </w:rPr>
      </w:pPr>
      <w:r w:rsidRPr="002F1E36">
        <w:rPr>
          <w:noProof/>
        </w:rPr>
        <w:drawing>
          <wp:inline distT="0" distB="0" distL="0" distR="0" wp14:anchorId="49BDBEA6" wp14:editId="0F47CF35">
            <wp:extent cx="5072170" cy="43243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072170" cy="4324350"/>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And then convert the mosaic to a </w:t>
      </w:r>
      <w:proofErr w:type="spellStart"/>
      <w:r w:rsidRPr="002F1E36">
        <w:rPr>
          <w:sz w:val="24"/>
          <w:szCs w:val="24"/>
        </w:rPr>
        <w:t>hillshade</w:t>
      </w:r>
      <w:proofErr w:type="spellEnd"/>
      <w:r w:rsidRPr="002F1E36">
        <w:rPr>
          <w:sz w:val="24"/>
          <w:szCs w:val="24"/>
        </w:rPr>
        <w:t xml:space="preserve"> version for easier visual analysis:</w:t>
      </w:r>
    </w:p>
    <w:p w:rsidR="002F1E36" w:rsidRPr="002F1E36" w:rsidRDefault="002F1E36" w:rsidP="002F1E36">
      <w:pPr>
        <w:autoSpaceDE w:val="0"/>
        <w:autoSpaceDN w:val="0"/>
        <w:adjustRightInd w:val="0"/>
        <w:rPr>
          <w:b/>
          <w:sz w:val="24"/>
          <w:szCs w:val="24"/>
        </w:rPr>
      </w:pPr>
      <w:proofErr w:type="spellStart"/>
      <w:r w:rsidRPr="002F1E36">
        <w:rPr>
          <w:b/>
          <w:sz w:val="24"/>
          <w:szCs w:val="24"/>
        </w:rPr>
        <w:t>ArcToolbox</w:t>
      </w:r>
      <w:proofErr w:type="spellEnd"/>
      <w:r w:rsidRPr="002F1E36">
        <w:rPr>
          <w:b/>
          <w:sz w:val="24"/>
          <w:szCs w:val="24"/>
        </w:rPr>
        <w:t xml:space="preserve"> &gt; Spatial Analyst Tools &gt; Surface &gt; </w:t>
      </w:r>
      <w:proofErr w:type="spellStart"/>
      <w:r w:rsidRPr="002F1E36">
        <w:rPr>
          <w:b/>
          <w:sz w:val="24"/>
          <w:szCs w:val="24"/>
        </w:rPr>
        <w:t>Hillshade</w:t>
      </w:r>
      <w:proofErr w:type="spellEnd"/>
    </w:p>
    <w:p w:rsidR="002F1E36" w:rsidRPr="002F1E36" w:rsidRDefault="002F1E36" w:rsidP="002F1E36">
      <w:pPr>
        <w:autoSpaceDE w:val="0"/>
        <w:autoSpaceDN w:val="0"/>
        <w:adjustRightInd w:val="0"/>
        <w:rPr>
          <w:b/>
          <w:sz w:val="24"/>
          <w:szCs w:val="24"/>
        </w:rPr>
      </w:pPr>
      <w:r w:rsidRPr="002F1E36">
        <w:rPr>
          <w:noProof/>
        </w:rPr>
        <w:drawing>
          <wp:inline distT="0" distB="0" distL="0" distR="0" wp14:anchorId="0A576B54" wp14:editId="56BD24CB">
            <wp:extent cx="4962525" cy="2266008"/>
            <wp:effectExtent l="0" t="0" r="0" b="12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4962525" cy="2266008"/>
                    </a:xfrm>
                    <a:prstGeom prst="rect">
                      <a:avLst/>
                    </a:prstGeom>
                  </pic:spPr>
                </pic:pic>
              </a:graphicData>
            </a:graphic>
          </wp:inline>
        </w:drawing>
      </w:r>
    </w:p>
    <w:p w:rsidR="002F1E36" w:rsidRPr="002F1E36" w:rsidRDefault="002F1E36" w:rsidP="002F1E36">
      <w:pPr>
        <w:autoSpaceDE w:val="0"/>
        <w:autoSpaceDN w:val="0"/>
        <w:adjustRightInd w:val="0"/>
        <w:rPr>
          <w:b/>
          <w:sz w:val="24"/>
          <w:szCs w:val="24"/>
        </w:rPr>
      </w:pPr>
    </w:p>
    <w:p w:rsidR="002F1E36" w:rsidRPr="002F1E36" w:rsidRDefault="002F1E36" w:rsidP="002F1E36">
      <w:pPr>
        <w:autoSpaceDE w:val="0"/>
        <w:autoSpaceDN w:val="0"/>
        <w:adjustRightInd w:val="0"/>
        <w:rPr>
          <w:b/>
          <w:sz w:val="24"/>
          <w:szCs w:val="24"/>
        </w:rPr>
      </w:pPr>
    </w:p>
    <w:p w:rsidR="002F1E36" w:rsidRPr="002F1E36" w:rsidRDefault="002F1E36" w:rsidP="002F1E36">
      <w:pPr>
        <w:rPr>
          <w:sz w:val="24"/>
          <w:szCs w:val="24"/>
        </w:rPr>
      </w:pPr>
      <w:r w:rsidRPr="002F1E36">
        <w:rPr>
          <w:sz w:val="24"/>
          <w:szCs w:val="24"/>
        </w:rPr>
        <w:br w:type="page"/>
      </w:r>
    </w:p>
    <w:p w:rsidR="002F1E36" w:rsidRPr="002F1E36" w:rsidRDefault="002F1E36" w:rsidP="002F1E36">
      <w:pPr>
        <w:autoSpaceDE w:val="0"/>
        <w:autoSpaceDN w:val="0"/>
        <w:adjustRightInd w:val="0"/>
        <w:rPr>
          <w:sz w:val="24"/>
          <w:szCs w:val="24"/>
        </w:rPr>
      </w:pPr>
      <w:r w:rsidRPr="002F1E36">
        <w:rPr>
          <w:sz w:val="24"/>
          <w:szCs w:val="24"/>
        </w:rPr>
        <w:lastRenderedPageBreak/>
        <w:t>Produce mosaic of the highest hit tiles:</w:t>
      </w:r>
    </w:p>
    <w:p w:rsidR="002F1E36" w:rsidRPr="002F1E36" w:rsidRDefault="002F1E36" w:rsidP="002F1E36">
      <w:pPr>
        <w:autoSpaceDE w:val="0"/>
        <w:autoSpaceDN w:val="0"/>
        <w:adjustRightInd w:val="0"/>
        <w:rPr>
          <w:b/>
          <w:sz w:val="24"/>
          <w:szCs w:val="24"/>
        </w:rPr>
      </w:pPr>
      <w:proofErr w:type="spellStart"/>
      <w:r w:rsidRPr="002F1E36">
        <w:rPr>
          <w:b/>
          <w:sz w:val="24"/>
          <w:szCs w:val="24"/>
        </w:rPr>
        <w:t>ArcToolbox</w:t>
      </w:r>
      <w:proofErr w:type="spellEnd"/>
      <w:r w:rsidRPr="002F1E36">
        <w:rPr>
          <w:b/>
          <w:sz w:val="24"/>
          <w:szCs w:val="24"/>
        </w:rPr>
        <w:t xml:space="preserve"> &gt; Data Management Tools &gt; Raster &gt; Raster Dataset &gt; Mosaic to New Raster</w:t>
      </w:r>
    </w:p>
    <w:p w:rsidR="002F1E36" w:rsidRPr="002F1E36" w:rsidRDefault="002F1E36" w:rsidP="002F1E36">
      <w:pPr>
        <w:autoSpaceDE w:val="0"/>
        <w:autoSpaceDN w:val="0"/>
        <w:adjustRightInd w:val="0"/>
        <w:rPr>
          <w:sz w:val="24"/>
          <w:szCs w:val="24"/>
        </w:rPr>
      </w:pPr>
      <w:r w:rsidRPr="002F1E36">
        <w:rPr>
          <w:noProof/>
        </w:rPr>
        <w:drawing>
          <wp:inline distT="0" distB="0" distL="0" distR="0" wp14:anchorId="18AD188D" wp14:editId="4393977D">
            <wp:extent cx="5138300" cy="4343400"/>
            <wp:effectExtent l="0" t="0" r="571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142850" cy="4347246"/>
                    </a:xfrm>
                    <a:prstGeom prst="rect">
                      <a:avLst/>
                    </a:prstGeom>
                  </pic:spPr>
                </pic:pic>
              </a:graphicData>
            </a:graphic>
          </wp:inline>
        </w:drawing>
      </w:r>
    </w:p>
    <w:p w:rsidR="002F1E36" w:rsidRPr="002F1E36" w:rsidRDefault="002F1E36" w:rsidP="002F1E36">
      <w:pPr>
        <w:autoSpaceDE w:val="0"/>
        <w:autoSpaceDN w:val="0"/>
        <w:adjustRightInd w:val="0"/>
        <w:rPr>
          <w:sz w:val="24"/>
          <w:szCs w:val="24"/>
        </w:rPr>
      </w:pPr>
    </w:p>
    <w:p w:rsidR="002F1E36" w:rsidRPr="002F1E36" w:rsidRDefault="002F1E36" w:rsidP="002F1E36">
      <w:pPr>
        <w:autoSpaceDE w:val="0"/>
        <w:autoSpaceDN w:val="0"/>
        <w:adjustRightInd w:val="0"/>
        <w:rPr>
          <w:sz w:val="24"/>
          <w:szCs w:val="24"/>
        </w:rPr>
      </w:pPr>
      <w:r w:rsidRPr="002F1E36">
        <w:rPr>
          <w:sz w:val="24"/>
          <w:szCs w:val="24"/>
        </w:rPr>
        <w:t xml:space="preserve">And then convert the mosaic to a </w:t>
      </w:r>
      <w:proofErr w:type="spellStart"/>
      <w:r w:rsidRPr="002F1E36">
        <w:rPr>
          <w:sz w:val="24"/>
          <w:szCs w:val="24"/>
        </w:rPr>
        <w:t>hillshade</w:t>
      </w:r>
      <w:proofErr w:type="spellEnd"/>
      <w:r w:rsidRPr="002F1E36">
        <w:rPr>
          <w:sz w:val="24"/>
          <w:szCs w:val="24"/>
        </w:rPr>
        <w:t xml:space="preserve"> version for easier visual analysis:</w:t>
      </w:r>
    </w:p>
    <w:p w:rsidR="002F1E36" w:rsidRPr="002F1E36" w:rsidRDefault="002F1E36" w:rsidP="002F1E36">
      <w:pPr>
        <w:autoSpaceDE w:val="0"/>
        <w:autoSpaceDN w:val="0"/>
        <w:adjustRightInd w:val="0"/>
        <w:rPr>
          <w:b/>
          <w:sz w:val="24"/>
          <w:szCs w:val="24"/>
        </w:rPr>
      </w:pPr>
      <w:proofErr w:type="spellStart"/>
      <w:r w:rsidRPr="002F1E36">
        <w:rPr>
          <w:b/>
          <w:sz w:val="24"/>
          <w:szCs w:val="24"/>
        </w:rPr>
        <w:t>ArcToolbox</w:t>
      </w:r>
      <w:proofErr w:type="spellEnd"/>
      <w:r w:rsidRPr="002F1E36">
        <w:rPr>
          <w:b/>
          <w:sz w:val="24"/>
          <w:szCs w:val="24"/>
        </w:rPr>
        <w:t xml:space="preserve"> &gt; Spatial Analyst Tools &gt; Surface &gt; </w:t>
      </w:r>
      <w:proofErr w:type="spellStart"/>
      <w:r w:rsidRPr="002F1E36">
        <w:rPr>
          <w:b/>
          <w:sz w:val="24"/>
          <w:szCs w:val="24"/>
        </w:rPr>
        <w:t>Hillshade</w:t>
      </w:r>
      <w:proofErr w:type="spellEnd"/>
    </w:p>
    <w:p w:rsidR="002F1E36" w:rsidRPr="002F1E36" w:rsidRDefault="002F1E36" w:rsidP="002F1E36">
      <w:pPr>
        <w:autoSpaceDE w:val="0"/>
        <w:autoSpaceDN w:val="0"/>
        <w:adjustRightInd w:val="0"/>
        <w:rPr>
          <w:sz w:val="24"/>
          <w:szCs w:val="24"/>
        </w:rPr>
      </w:pPr>
      <w:r w:rsidRPr="002F1E36">
        <w:rPr>
          <w:noProof/>
        </w:rPr>
        <w:drawing>
          <wp:inline distT="0" distB="0" distL="0" distR="0" wp14:anchorId="16784D40" wp14:editId="20384BF8">
            <wp:extent cx="5067300" cy="230681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068490" cy="2307355"/>
                    </a:xfrm>
                    <a:prstGeom prst="rect">
                      <a:avLst/>
                    </a:prstGeom>
                  </pic:spPr>
                </pic:pic>
              </a:graphicData>
            </a:graphic>
          </wp:inline>
        </w:drawing>
      </w:r>
    </w:p>
    <w:p w:rsidR="002F1E36" w:rsidRPr="002F1E36" w:rsidRDefault="002F1E36" w:rsidP="002F1E36"/>
    <w:p w:rsidR="007977E2" w:rsidRDefault="007977E2">
      <w:bookmarkStart w:id="0" w:name="_GoBack"/>
      <w:bookmarkEnd w:id="0"/>
    </w:p>
    <w:sectPr w:rsidR="007977E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MT">
    <w:altName w:val="MS Mincho"/>
    <w:panose1 w:val="00000000000000000000"/>
    <w:charset w:val="80"/>
    <w:family w:val="auto"/>
    <w:notTrueType/>
    <w:pitch w:val="default"/>
    <w:sig w:usb0="00000003" w:usb1="08070000" w:usb2="00000010" w:usb3="00000000" w:csb0="00020001" w:csb1="00000000"/>
  </w:font>
  <w:font w:name="TimesNewRomanPS-BoldMT">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C0C518C"/>
    <w:multiLevelType w:val="hybridMultilevel"/>
    <w:tmpl w:val="475E4416"/>
    <w:lvl w:ilvl="0" w:tplc="FFB2FADC">
      <w:numFmt w:val="bullet"/>
      <w:lvlText w:val="•"/>
      <w:lvlJc w:val="left"/>
      <w:pPr>
        <w:ind w:left="720" w:hanging="360"/>
      </w:pPr>
      <w:rPr>
        <w:rFonts w:ascii="SymbolMT" w:eastAsia="SymbolMT" w:hAnsi="TimesNewRomanPS-BoldMT" w:cs="SymbolMT" w:hint="eastAsia"/>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F1E36"/>
    <w:rsid w:val="002F1E36"/>
    <w:rsid w:val="007977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1E36"/>
    <w:rPr>
      <w:rFonts w:asciiTheme="minorHAnsi" w:hAnsi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F1E36"/>
    <w:rPr>
      <w:rFonts w:ascii="Tahoma" w:hAnsi="Tahoma" w:cs="Tahoma"/>
      <w:sz w:val="16"/>
      <w:szCs w:val="16"/>
    </w:rPr>
  </w:style>
  <w:style w:type="character" w:customStyle="1" w:styleId="BalloonTextChar">
    <w:name w:val="Balloon Text Char"/>
    <w:basedOn w:val="DefaultParagraphFont"/>
    <w:link w:val="BalloonText"/>
    <w:uiPriority w:val="99"/>
    <w:semiHidden/>
    <w:rsid w:val="002F1E3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F1E36"/>
    <w:rPr>
      <w:rFonts w:asciiTheme="minorHAnsi" w:hAnsiTheme="minorHAnsi" w:cstheme="minorBid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2F1E36"/>
    <w:rPr>
      <w:rFonts w:ascii="Tahoma" w:hAnsi="Tahoma" w:cs="Tahoma"/>
      <w:sz w:val="16"/>
      <w:szCs w:val="16"/>
    </w:rPr>
  </w:style>
  <w:style w:type="character" w:customStyle="1" w:styleId="BalloonTextChar">
    <w:name w:val="Balloon Text Char"/>
    <w:basedOn w:val="DefaultParagraphFont"/>
    <w:link w:val="BalloonText"/>
    <w:uiPriority w:val="99"/>
    <w:semiHidden/>
    <w:rsid w:val="002F1E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file:///\\166.2.126.25\lidar\LAS_AttributeConversionTool\lidarGpsTime.esriAddIn" TargetMode="External"/><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12</Pages>
  <Words>1423</Words>
  <Characters>8114</Characters>
  <Application>Microsoft Office Word</Application>
  <DocSecurity>0</DocSecurity>
  <Lines>67</Lines>
  <Paragraphs>19</Paragraphs>
  <ScaleCrop>false</ScaleCrop>
  <HeadingPairs>
    <vt:vector size="2" baseType="variant">
      <vt:variant>
        <vt:lpstr>Title</vt:lpstr>
      </vt:variant>
      <vt:variant>
        <vt:i4>1</vt:i4>
      </vt:variant>
    </vt:vector>
  </HeadingPairs>
  <TitlesOfParts>
    <vt:vector size="1" baseType="lpstr">
      <vt:lpstr/>
    </vt:vector>
  </TitlesOfParts>
  <Company>Forest Service</Company>
  <LinksUpToDate>false</LinksUpToDate>
  <CharactersWithSpaces>9518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Joria, Peter -FS</dc:creator>
  <cp:keywords/>
  <dc:description/>
  <cp:lastModifiedBy>Joria, Peter -FS</cp:lastModifiedBy>
  <cp:revision>1</cp:revision>
  <dcterms:created xsi:type="dcterms:W3CDTF">2012-11-27T22:30:00Z</dcterms:created>
  <dcterms:modified xsi:type="dcterms:W3CDTF">2012-11-27T22:31:00Z</dcterms:modified>
</cp:coreProperties>
</file>